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CN202010240773.2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2020年03月31日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基于大数据的工业机房节能调控系统、方法及存储介质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2021年06月29日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武汉星火众达信息技术有限公司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0442387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481379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481379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75.5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67.12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6528934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893432"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76.0</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64.59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94.88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78.92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68.66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61.18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62.45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481379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85.04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42.54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111.69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81.04万元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81379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81379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基于大数据的工业机房节能调控系统、方法及存储介质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CN111397132B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2021年06月29日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CN202010240773.2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2020年03月31日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张彩霞,王向东</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蔡伟杰</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F25B49/02 .用于压缩式制冷机器、装置或系统的 [2006.01]</w:t>
              <w:br/>
              <w:t>F24F11/89 .控制或安全装置的配置或安装  [2018.01]</w:t>
              <w:br/>
              <w:t>F25B43/00 分离或净化气体或液体的装置（在分析器或精馏器内的入F25B33/00 ）；气化液态制冷剂剩余物的装置，例如用加热（F25B40/00 优先）[2006.01]</w:t>
              <w:br/>
              <w:t>F24F11/64 ...利用预存储数据 [2018.01]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涉及基于大数据的工业机房节能调控系统、方法及存储介质，包括以下：步骤401、获取用户的启动指令，运行空调至额定的平台功率，使空调进入稳定状态；步骤402、获取用户对蒸发器的设定温度T1，以及蒸发器的当前温度T2，根据T1与T2的值对空调进行变频控制；步骤403、获取外部压缩气体的注入量H，判断H是否低于第一阈值，若是则将空调的运行频率调整至最低频率，判断H是否高于第二阈值，若是则将空调的运行频率调整至最高频率。本发明能够建立以直流变频工业空调为元件的节能调控系统，并结合该系统提出相应的变频控制方法，以使工业机房的节能调控更具智能化，较大幅度的节省工业机房电能的消耗。</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700213"/>
                  <wp:effectExtent l="0" t="0" r="0" b="0"/>
                  <wp:docPr id="15216316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631643" name=""/>
                          <pic:cNvPicPr/>
                        </pic:nvPicPr>
                        <pic:blipFill>
                          <a:blip xmlns:r="http://schemas.openxmlformats.org/officeDocument/2006/relationships" r:embed="rId13"/>
                          <a:stretch>
                            <a:fillRect/>
                          </a:stretch>
                        </pic:blipFill>
                        <pic:spPr>
                          <a:xfrm>
                            <a:off x="0" y="0"/>
                            <a:ext cx="2222500" cy="170021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81379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20200710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20200804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IPC(主分类):F24F  11/64 申请日:20200331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20210629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20240528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专利权的转移</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专利权的转移 IPC(主分类):F24F  11/64 登记生效日:20240511 变更事项:专利权人 变更前权利人:佛山科学技术学院 变更后权利人:武汉星火众达信息技术有限公司 变更事项:国家或地区 变更前权利人:中国 变更后权利人:中国 变更事项:地址 变更前权利人:528000 广东省佛山市南海区狮山镇广云路33号 变更后权利人:430000 湖北省武汉市硚口区丰硕路10号古田1967项目10号楼</w:t>
            </w:r>
          </w:p>
        </w:tc>
      </w:tr>
    </w:tbl>
    <w:p>
      <w:pPr>
        <w:pStyle w:val="Heading2"/>
        <w:numPr>
          <w:ilvl w:val="1"/>
          <w:numId w:val="4"/>
        </w:numPr>
        <w:bidi w:val="0"/>
        <w:rPr>
          <w:rFonts w:hint="eastAsia"/>
          <w:color w:val="auto"/>
          <w:lang w:val="en-US" w:eastAsia="zh-CN"/>
        </w:rPr>
      </w:pPr>
      <w:bookmarkStart w:id="20" w:name="_Toc481379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81379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81379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81379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81379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481379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81379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5715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1590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1590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81379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G</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G101,G102,G107</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81379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81379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81379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81379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8</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1.52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5</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81379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0.85</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198.38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0.85</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CN111397132B价值评估报告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CN111397132B价值评估报告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CN111397132B价值评估报告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