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CN201810876844.0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2018年08月03日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一种PID控制器参数最优比例模型建立方法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2021年06月29日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040917396"/>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05716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05716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75.98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69.49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1229376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3761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64.97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94.6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81.92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69.63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62.91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56.63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05716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63.8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31.34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94.9</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75.81万元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05716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05716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一种PID控制器参数最优比例模型建立方法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CN108919639B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2021年06月29日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CN201810876844.0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2018年08月03日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郑伟佳,罗映</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G05B11/42 ...为获得比例和与时间有关的两个特性的，例如，比例积分（P.I.），比例积分微分（ P.I.D.）[2006.01]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本发明公开了一种PID控制器参数最优比例模型建立方法，PID控制器的控制模型为&lt;Image file="DDA0001753479890000011.GIF" he="128" imgContent="drawing" imgFormat="GIF" inline="yes" orientation="portrait" wi="612"/&gt;a和b为比例系数；本方法包括：设置控制系统中被控对象的被控对象；划分对象模型参数的范围；设置并划分控制系统的截止频率ω&lt;Sub&gt;c&lt;/Sub&gt;以及相位裕度&lt;Image file="DDA0001753479890000012.GIF" he="68" imgContent="drawing" imgFormat="GIF" inline="yes" orientation="portrait" wi="111"/&gt;设置并划分比例系数a和比例系数b的取值范围；计算比例系数a和比例系数b的最优值；建立比例系数a的估计模型；建立比例系数b的估计模型。本发明提出的利用最优比例系数估计模型设计分数阶PID控制器，保证控制系统获得良好的鲁棒性的同时使系统达到最优的动态响应性能，而且只要被控对象的特性参数和系统性能指标在模型指定范围内，就可以根据模型直接计算出最优的比例系数a和b，从而使分数阶PID控制器参数整定过程大为简化。</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967290"/>
                  <wp:effectExtent l="0" t="0" r="0" b="0"/>
                  <wp:docPr id="167867678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76783" name=""/>
                          <pic:cNvPicPr/>
                        </pic:nvPicPr>
                        <pic:blipFill>
                          <a:blip xmlns:r="http://schemas.openxmlformats.org/officeDocument/2006/relationships" r:embed="rId13"/>
                          <a:stretch>
                            <a:fillRect/>
                          </a:stretch>
                        </pic:blipFill>
                        <pic:spPr>
                          <a:xfrm>
                            <a:off x="0" y="0"/>
                            <a:ext cx="2222500" cy="2967290"/>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05716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20181225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IPC(主分类):G05B  11/42 专利申请号:2018108768440 申请日:20180803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20210629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05716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05716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05716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05716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05716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05716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05716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CN,WO</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446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1151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5109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2196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05716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B104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05716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05716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05716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05716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1.35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0.52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57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05716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-158.98</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CN108919639B价值评估报告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CN108919639B价值评估报告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CN108919639B价值评估报告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