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CN201610846690.1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2016年09月23日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基于OpenCL移动设备QC-LDPC的动态译码方法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2019年10月18日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1246137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6714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6714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684100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1007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84.98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6714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89.06万元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6714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6714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基于OpenCL移动设备QC-LDPC的动态译码方法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CN106452455B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2019年10月18日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CN201610846690.1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2016年09月23日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陆以勤,苏炜跃,覃健诚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H03M13/11 ...应用多位奇偶校验位的 [2006.01]</w:t>
              <w:br/>
              <w:t>H03M13/00 用于检错或纠错的编码、译码或代码转换；编码理论基本假设；编码约束；误差概率估计方法；信道模型；代码的模拟或测试（用于模 /数，数/模或代码转换的检错或纠错入 H03M1/00 至H03M11/00 ；专用于数字计算机的入 G06F11/08 ； 用于基于记录载体和传感器之间相对运动的信息存储器入 G11B，例如G11B20/18 ；用于静态存储器的入G11C）[2006.01]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基于OpenCL移动设备QC‑LDPC的动态译码方法。本发明将QC‑LDPC码的校验矩阵的母矩阵信息从宿主机传入OpenCL设备的常量存储器，并分配相应的内存空间；将待处理的码字信息传入OpenCL设备，当码字信息过大时，将码字信息分段，依次分别译码；将待处理的码字信息传入OpenCL设备，根据待译码的数据量来动态地选择最小和算法或者分层译码算法；读取相应的核函数，在OpenCL设备上完成译码算法。本发明针对QC结构LDPC码字的特点，实现了不同码率和码长的QC‑LDPC码在不同OpenCL设备上通用的加速译码；并提供了LDPC译码器在OpenCL框架中的并行化实现。能在OpenCL上独立并行地运行很多个LDPC译码器，译码效率大幅度提高。本发明可以节省成本，并且容易软件升级，容易实现多种制式的全网通功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35785"/>
                  <wp:effectExtent l="0" t="0" r="0" b="0"/>
                  <wp:docPr id="1415025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2551" name=""/>
                          <pic:cNvPicPr/>
                        </pic:nvPicPr>
                        <pic:blipFill>
                          <a:blip xmlns:r="http://schemas.openxmlformats.org/officeDocument/2006/relationships" r:embed="rId13"/>
                          <a:stretch>
                            <a:fillRect/>
                          </a:stretch>
                        </pic:blipFill>
                        <pic:spPr>
                          <a:xfrm>
                            <a:off x="0" y="0"/>
                            <a:ext cx="2222500" cy="183578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6714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IPC(主分类):H03M  13/11 申请日:20160923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IPC(主分类):H03M  13/11 声明编号:XK2023990001259 申请日:20160923 专利权人:华南理工大学 联系方式:联系人姓名：孙戈 邮编：510641 地址：广东省广州市天河区五山路381号华南理工大学37号楼202 电子邮箱：zlswzx@scut.edu.cn 电话：020-87113501 发明名称:基于OpenCL移动设备QC-LDPC的动态译码方法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授权公告日:20191018 许可期限届满日:20251231 生效日期:20240308</w:t>
            </w:r>
          </w:p>
        </w:tc>
      </w:tr>
    </w:tbl>
    <w:p>
      <w:pPr>
        <w:pStyle w:val="Heading2"/>
        <w:numPr>
          <w:ilvl w:val="1"/>
          <w:numId w:val="4"/>
        </w:numPr>
        <w:bidi w:val="0"/>
        <w:rPr>
          <w:rFonts w:hint="eastAsia"/>
          <w:color w:val="auto"/>
          <w:lang w:val="en-US" w:eastAsia="zh-CN"/>
        </w:rPr>
      </w:pPr>
      <w:bookmarkStart w:id="20" w:name="_Toc36714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6714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6714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6714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6714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6714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6714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6714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A206,A305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6714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6714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6714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6714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6714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40.42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CN106452455B价值评估报告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CN106452455B价值评估报告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CN106452455B价值评估报告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