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CN202010227607.9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2020年03月27日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一种基于GPU的SDN网络包分类方法及系统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2023年02月14日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64356134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61850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61850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9596685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66852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60.69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54.01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61850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59.8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84.53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92.66万元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6185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6185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一种基于GPU的SDN网络包分类方法及系统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CN111475290B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2023年02月14日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CN202010227607.9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2020年03月27日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王君君,陆以勤,金冬子,覃健诚</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李斌</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G06F9/50 ...资源分配，例如，中央处理单元 [CPU]的[2006.01]</w:t>
              <w:br/>
              <w:t>G06F16/906 ..聚类或分类 [2019.01]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GPU的SDN网络包分类方法及系统，该方法的步骤包括：SDN交换机创建二维数组，将规则集、匹配内核、计算内核和二维数组的初始数据发送到GPU；GPU接收并存储SDN交换机的初始数据；SDN交换机解析出SDN网络包中的包头字段并发送到GPU；GPU内多个线程并行计算，进行匹配内核和计算内核步骤；对包头字段和规则集字段进行匹配，将匹配结果保存到二维数组中；对二维数组中每一行的数据进行逻辑运算，筛选运算结果后得到规则集编号；筛选优先级最高的规则集编号发送到SDN交换机；根据优先级最高的规则集编号对应的数据处理规则处理SDN网络包。本发明利用数据包并行匹配的特点，结合GPU的并行计算能力，实现快速匹配的同时也能保证更新速率不受影响。</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446723"/>
                  <wp:effectExtent l="0" t="0" r="0" b="0"/>
                  <wp:docPr id="10583447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44757" name=""/>
                          <pic:cNvPicPr/>
                        </pic:nvPicPr>
                        <pic:blipFill>
                          <a:blip xmlns:r="http://schemas.openxmlformats.org/officeDocument/2006/relationships" r:embed="rId13"/>
                          <a:stretch>
                            <a:fillRect/>
                          </a:stretch>
                        </pic:blipFill>
                        <pic:spPr>
                          <a:xfrm>
                            <a:off x="0" y="0"/>
                            <a:ext cx="2222500" cy="44672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6185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20200731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IPC(主分类):G06F   9/50 申请日:20200327</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20230214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66185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6185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6185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6185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6185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6185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6185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5711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1594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1594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6185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A102,A104,A402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6185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6185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6185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6185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0.6699999999999999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6185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16.44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CN111475290B价值评估报告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CN111475290B价值评估报告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CN111475290B价值评估报告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