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CN202010561767.7</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2020年06月18日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多层拟态防御方法、装置、存储介质及多层拟态系统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2022年11月18日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141946152"/>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854195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854195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72.05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72.24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21175903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90311"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73.27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70.22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81.28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84.25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73.18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66.88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60.46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59.22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854195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39.01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41.03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39.01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94.22万元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854195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854195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多层拟态防御方法、装置、存储介质及多层拟态系统</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CN111935071B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2022年11月18日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CN202010561767.7</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2020年06月18日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陆以勤,陈卓星,覃键诚,程喆</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广州嘉权专利商标事务所有限公司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胡辉</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H04L9/40 .网络安全协议 [2022.01]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多层拟态防御方法、装置、存储介质及多层拟态系统，其中方法包括：第一阶段评估每一个执行体的实际性能，其中，所述实际性能包括每个所述执行体的初始性能与输出裁决器的累计反馈情况；第二阶段分别以每一个执行体作为种子执行体，综合考虑其余执行体的实际性能和其余执行体与种子执行体相互之间的异构性，从而得到兼顾性能与适配性的执行体集合及所述执行体集合的性能评估；第三阶段综合考虑所述执行体集合的整体性能与随机性，从当前时刻最适合调度的三个执行体集合中随机选择一个所述执行体集合进行拟态调度。本发明使得调度方法兼备完善性，可更新性和随机性，表现出更好的性能，可广泛应用于互联网中的信息安全技术领域。</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477963"/>
                  <wp:effectExtent l="0" t="0" r="0" b="0"/>
                  <wp:docPr id="185278604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786045" name=""/>
                          <pic:cNvPicPr/>
                        </pic:nvPicPr>
                        <pic:blipFill>
                          <a:blip xmlns:r="http://schemas.openxmlformats.org/officeDocument/2006/relationships" r:embed="rId13"/>
                          <a:stretch>
                            <a:fillRect/>
                          </a:stretch>
                        </pic:blipFill>
                        <pic:spPr>
                          <a:xfrm>
                            <a:off x="0" y="0"/>
                            <a:ext cx="2222500" cy="1477963"/>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854195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20201113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20201201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IPC(主分类):H04L  29/06 申请日:20200618</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20221118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854195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854195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854195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854195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854195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854195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854195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251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945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5794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1511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1511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854195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A305</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854195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854195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854195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854195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0.42000000000000004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19</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195</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18</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2.11</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0.58</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89</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296</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84</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854195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0.91</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-283.74</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CN111935071B价值评估报告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CN111935071B价值评估报告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CN111935071B价值评估报告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