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CN202110581243.9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2021年05月27日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一种可变增益线性功率放大器及芯片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2022年06月14日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45926305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7039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7039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71.51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43031618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16186"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74.99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71.13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90.24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61.92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64.84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7039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85.4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40.77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85.4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83.45万元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7039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7039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一种可变增益线性功率放大器及芯片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CN113328712B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2022年06月14日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CN202110581243.9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2021年05月27日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薛泉,罗雄耀,冯文杰,朱浩慎</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郑宏谋</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H03F3/213 ...在集成电路中 [2006.01]</w:t>
              <w:br/>
              <w:t>H03F3/24 ..发射机输出级的 [2006.01]</w:t>
              <w:br/>
              <w:t>H03G3/30 ..在有半导体器件的放大器中 [2006.01]</w:t>
              <w:br/>
              <w:t>H03F3/195 ...在集成电路中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可变增益线性功率放大器及芯片，其中放大器包括：可变增益放大器；后失真功率放大器，包括驱动级放大器和级联功率级放大器，所述可变增益放大器的输出端与所述驱动级放大器的输入端连接，所述驱动级放大器的输出端与所述级联功率级放大器的输入端连接；根据所述级联功率级放大器的增益扩张失真特性补偿所述驱动级放大器的增益压缩失真特性，以使后失真功率放大器的增益曲线获得更高的1dB压缩点。本发明利用了后级低偏置C类放大器本身产生的增益扩张失真特性来补偿前级高偏置A类放大器所产生的增益压缩失真，在不引入额外预失真器的情况下实现了1dB压缩点的提高，避免了预失真器带来的额外损耗，可广泛应用于放大器电路。</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895668"/>
                  <wp:effectExtent l="0" t="0" r="0" b="0"/>
                  <wp:docPr id="2304190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19047" name=""/>
                          <pic:cNvPicPr/>
                        </pic:nvPicPr>
                        <pic:blipFill>
                          <a:blip xmlns:r="http://schemas.openxmlformats.org/officeDocument/2006/relationships" r:embed="rId13"/>
                          <a:stretch>
                            <a:fillRect/>
                          </a:stretch>
                        </pic:blipFill>
                        <pic:spPr>
                          <a:xfrm>
                            <a:off x="0" y="0"/>
                            <a:ext cx="2222500" cy="89566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7039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20210917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IPC(主分类):H03G   3/30 申请日:20210527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20220614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IPC(主分类):H03G   3/30 申请日:20210527 授权公告日:20220614</w:t>
            </w:r>
          </w:p>
        </w:tc>
      </w:tr>
    </w:tbl>
    <w:p>
      <w:pPr>
        <w:pStyle w:val="Heading2"/>
        <w:numPr>
          <w:ilvl w:val="1"/>
          <w:numId w:val="4"/>
        </w:numPr>
        <w:bidi w:val="0"/>
        <w:rPr>
          <w:rFonts w:hint="eastAsia"/>
          <w:color w:val="auto"/>
          <w:lang w:val="en-US" w:eastAsia="zh-CN"/>
        </w:rPr>
      </w:pPr>
      <w:bookmarkStart w:id="20" w:name="_Toc87039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7039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7039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7039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7039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7039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7039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1107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1107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7039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A204,A206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7039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7039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7039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7039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270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7039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6.96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CN113328712B价值评估报告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CN113328712B价值评估报告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CN113328712B价值评估报告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