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CN201911392311.6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一种三路任意功分比Gysel型功分器/合路器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2021年10月22日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62681912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8458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8458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70.48</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032969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9697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82.38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8458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111.27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54.89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111.27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92.27万元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8458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8458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一种三路任意功分比Gysel型功分器/合路器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CN111416189B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2021年10月22日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CN201911392311.6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陈海东,李虹萍,薛泉,车文荃</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何淑珍,陈伟斌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H01P5/04 .耦合系数可变的 [2006.01]</w:t>
              <w:br/>
              <w:t>H01P11/00 专用于制造波导或谐振器、传输线或其他波导型器件的设备或方法[2006.01]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三路任意功分比Gysel型功分器/合路器，一种三路任意功分比Gysel型功分器/合路器，包括电路板、金属框架、转接头，电路板放置在金属框架内；电路板包括微带结构、介质基板和接地金属，微带结构附着在介质基板的上表面，接地金属附着在介质基板的下表面；转接头通过金属框架的底层和介质基板与微带结构连接。本发明的三路任意功分比Gysel型功分器/合路器，能够实现任意功率分配比、任意端口负载的功率分配与合成，既可作为功分器实现功率分配，也可作为合路器实现功率合成，并且克服了现有功分器只有等功率分配比、等端口负载，以及难以在一个平面内实现的缺陷。</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55800"/>
                  <wp:effectExtent l="0" t="0" r="0" b="0"/>
                  <wp:docPr id="656911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1101" name=""/>
                          <pic:cNvPicPr/>
                        </pic:nvPicPr>
                        <pic:blipFill>
                          <a:blip xmlns:r="http://schemas.openxmlformats.org/officeDocument/2006/relationships" r:embed="rId13"/>
                          <a:stretch>
                            <a:fillRect/>
                          </a:stretch>
                        </pic:blipFill>
                        <pic:spPr>
                          <a:xfrm>
                            <a:off x="0" y="0"/>
                            <a:ext cx="2222500" cy="195580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8458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IPC(主分类):H01P   5/04 申请日:20191230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IPC(主分类):H01P   5/04 申请日:20191230 授权公告日:20211022</w:t>
            </w:r>
          </w:p>
        </w:tc>
      </w:tr>
    </w:tbl>
    <w:p>
      <w:pPr>
        <w:pStyle w:val="Heading2"/>
        <w:numPr>
          <w:ilvl w:val="1"/>
          <w:numId w:val="4"/>
        </w:numPr>
        <w:bidi w:val="0"/>
        <w:rPr>
          <w:rFonts w:hint="eastAsia"/>
          <w:color w:val="auto"/>
          <w:lang w:val="en-US" w:eastAsia="zh-CN"/>
        </w:rPr>
      </w:pPr>
      <w:bookmarkStart w:id="20" w:name="_Toc48458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8458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8458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8458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8458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8458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8458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8458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8458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8458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8458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8458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8458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16.74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CN111416189B价值评估报告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CN111416189B价值评估报告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CN111416189B价值评估报告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