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CN201911003465.1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2019年10月22日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无线通信的加密和解密、数据传输方法及无线通信系统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2020年12月22日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80420152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6</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6</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10</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11</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3008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3008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9987228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2285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72.44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60.28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3008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49.36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40.18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93.47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98.05万元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3008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3008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无线通信的加密和解密、数据传输方法及无线通信系统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CN110784868B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2020年12月22日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CN201911003465.1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2019年10月22日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陆以勤,黄俊贤,覃健诚,程喆</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郑浦娟</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H04W12/06 .鉴权[2021.01]</w:t>
              <w:br/>
              <w:t>H04L9/00 保密或安全通信装置；网络安全协议[19680901,20060101,20220101]</w:t>
              <w:br/>
              <w:t>H04L29/06 ..以协议为特征的〔5〕</w:t>
              <w:br/>
              <w:t>H04L9/08 .密钥分配 [2006.01]</w:t>
              <w:br/>
              <w:t>H04W12/04 .密钥管理，例如使用通用自举架构 [2021.01]</w:t>
              <w:br/>
              <w:t>H04W12/02 .保密或匿名 ,例如保护个人身份信息 [2009.01]</w:t>
              <w:br/>
              <w:t>H04L1/00 检测或防止收到信息中的差错的装置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无线通信的加密和解密、数据传输方法及无线通信系统，加密方法包括针对于解密方所发起的传输请求时，对解密方进行加密认证；加密认证完成后，对待传输的原始数据进行混沌压缩加密，生成加密数据；将加密数据进行编码处理，得到传输数据，并将传输数据发送给经过加密认证的解密方；解密方法包括向加密方发起传输请求，并对加密方进行加密认证；加密认证完成后，对接收的传输数据进行丢包检测和编码筛选，以此得到加密数据；对加密数据进行混沌解压解密，得到原始数据。本发明加密方法实现对传输数据的加密，解密方法实现对传输数据的解密，在加密方和解密方之间实现了安全的数据传输。</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575638"/>
                  <wp:effectExtent l="0" t="0" r="0" b="0"/>
                  <wp:docPr id="15500746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74609" name=""/>
                          <pic:cNvPicPr/>
                        </pic:nvPicPr>
                        <pic:blipFill>
                          <a:blip xmlns:r="http://schemas.openxmlformats.org/officeDocument/2006/relationships" r:embed="rId13"/>
                          <a:stretch>
                            <a:fillRect/>
                          </a:stretch>
                        </pic:blipFill>
                        <pic:spPr>
                          <a:xfrm>
                            <a:off x="0" y="0"/>
                            <a:ext cx="2222500" cy="257563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3008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20200306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IPC(主分类):H04W  12/02 申请日:20191022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IPC(主分类):H04W  12/02 合同备案号:X2023980033876 让与人:华南理工大学 受让人:广州鹏达智合科技有限公司 发明名称:无线通信的加密和解密、数据传输方法及无线通信系统 申请日:20191022 申请公布日:20200211 授权公告日:20201222 许可种类:普通许可 备案日期:20230321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IPC(主分类):H04W  12/02 声明编号:XK2023990001283 申请日:20191022 专利权人:华南理工大学 联系方式:联系人姓名：孙戈 邮编：510641 地址：广东省广州市天河区五山路381号华南理工大学37号楼202 电子邮箱：zlswzx@scut.edu.cn 电话：020-87113501 发明名称:无线通信的加密和解密、数据传输方法及无线通信系统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授权公告日:20201222 许可期限届满日:20251231 生效日期:20240220</w:t>
            </w:r>
          </w:p>
        </w:tc>
      </w:tr>
    </w:tbl>
    <w:p>
      <w:pPr>
        <w:pStyle w:val="Heading2"/>
        <w:numPr>
          <w:ilvl w:val="1"/>
          <w:numId w:val="4"/>
        </w:numPr>
        <w:bidi w:val="0"/>
        <w:rPr>
          <w:rFonts w:hint="eastAsia"/>
          <w:color w:val="auto"/>
          <w:lang w:val="en-US" w:eastAsia="zh-CN"/>
        </w:rPr>
      </w:pPr>
      <w:bookmarkStart w:id="20" w:name="_Toc23008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3008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3008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3008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广州鹏达智合科技有限公司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3008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3008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3008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5554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1751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1751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3008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A101,A205,A305,H101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3008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3008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3008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3008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0.45999999999999996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378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3008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26.03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CN110784868B价值评估报告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CN110784868B价值评估报告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CN110784868B价值评估报告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