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CN201510505278.9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2015年08月17日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用于制备shRNA的引物及制备方法、载体及构建方法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2018年06月19日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1772303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8143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8143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967946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460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8143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343.14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343.14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8143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8143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用于制备shRNA的引物及制备方法、载体及构建方法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CN105132413B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2018年06月19日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CN201510505278.9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苟德明,康康,李洁璇,黄炼</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C12N15/113 ...调节基因表达的非编码核酸，如反义寡核苷酸 [2010.01]</w:t>
              <w:br/>
              <w:t>C12N15/867 ......逆转录病毒载体 [2006.01]</w:t>
              <w:br/>
              <w:t>C12N15/66 ...经裂解和连接将基因插入载体中以形成重组载体的一般方法； 非功能性衔接子或连接物（如含限制性核酸内切酶顺序的衔接子）的使用〔 5〕</w:t>
              <w:br/>
              <w:t>C12N15/11 ..DNA或RNA片段；其修饰形成（不用于重组技术的 DNA或RNA入C07H21/00 ）[2006.01]</w:t>
              <w:br/>
              <w:t>C12N15/10 ..分离、制备或纯化 DNA或RNA的方法（ DNA或RNA的化学制备入C07H21/00 ；自微生物中或用酶制备非结构多核苷酸入C12P19/34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用于制备shRNA的引物及制备方法、载体及构建方法，用于制备shRNA的引物包括引物P1、P2、P3；P1长度为34nt，从5’端开始，依次为突出的粘性末端ACCG，21nt的siRNA正向序列，loop序列，以及与siRNA正向序列3’末端3个碱基反向互补的碱基；P2，5’端4个碱基由ACCG改变为AAAA，其余序列与P1相同；P3是siRNA正向序列5’末端18nt序列的反向互补序列。三条引物长度均不超过35nt，可有效避免长引物合成过程中发生的碱基错误，提高了shRNA的保真性，成本低，适用于高通量制备shRNA。</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788988"/>
                  <wp:effectExtent l="0" t="0" r="0" b="0"/>
                  <wp:docPr id="4831564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56451" name=""/>
                          <pic:cNvPicPr/>
                        </pic:nvPicPr>
                        <pic:blipFill>
                          <a:blip xmlns:r="http://schemas.openxmlformats.org/officeDocument/2006/relationships" r:embed="rId13"/>
                          <a:stretch>
                            <a:fillRect/>
                          </a:stretch>
                        </pic:blipFill>
                        <pic:spPr>
                          <a:xfrm>
                            <a:off x="0" y="0"/>
                            <a:ext cx="2222500" cy="78898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8143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15/11 申请日:20150817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20180619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8143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8143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8143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8143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8143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8143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8143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8143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8143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8143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8143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8143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8143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-13.57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CN105132413B价值评估报告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CN105132413B价值评估报告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CN105132413B价值评估报告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