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CN201810511559.9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2018年05月24日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一种具有降尿酸功效的合成多肽及其制备方法与应用和编码该多肽的基因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2021年11月23日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93648385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1349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1349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73.39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73.02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85137598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7598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76.0</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72.14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68.49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60.65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56.64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1349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54.3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41.43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95.79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108.49万元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1349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1349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一种具有降尿酸功效的合成多肽及其制备方法与应用和编码该多肽的基因</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CN108715599B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2021年11月23日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CN201810511559.9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2018年05月24日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任娇艳,李宇娟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何淑珍,江裕强</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A61K38/06 ..三肽[2006.01]</w:t>
              <w:br/>
              <w:t>C07K5/097 ...第一位氨基酸是杂环（例如 Pro、His、Trp），例如促甲状腺激素释放因子，促黑激素释放抑制因子 [2006.01]</w:t>
              <w:br/>
              <w:t>A61P19/06 .抗痛风剂，例如高尿酸血症或促尿酸尿药 [2006.01]</w:t>
              <w:br/>
              <w:t>C12N15/11 ..DNA或RNA片段；其修饰形成（不用于重组技术的 DNA或RNA入C07H21/00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本发明属于生物制药领域，公开一种具有降尿酸功效的合成多肽及其制备方法与应用和编码该多肽的基因。本发明所述合成多肽的氨基酸序列如SEQ ID NO：1所示。本发明提供一种固相合成方法合成新型降尿酸三肽，经体外降尿酸实验证明，具有显著降尿酸功效。本发明所述作用机制通过计算机分子对接模拟技术分析，结果表明疏水相互作用是本发明发挥降尿酸作用的关键。本发明可用于制备抗高尿酸血症及痛风疾病相关的药品及保健食品领域，应用范围广且安全性高，具有良好的社会经济效益。</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073997"/>
                  <wp:effectExtent l="0" t="0" r="0" b="0"/>
                  <wp:docPr id="9610490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49044" name=""/>
                          <pic:cNvPicPr/>
                        </pic:nvPicPr>
                        <pic:blipFill>
                          <a:blip xmlns:r="http://schemas.openxmlformats.org/officeDocument/2006/relationships" r:embed="rId13"/>
                          <a:stretch>
                            <a:fillRect/>
                          </a:stretch>
                        </pic:blipFill>
                        <pic:spPr>
                          <a:xfrm>
                            <a:off x="0" y="0"/>
                            <a:ext cx="2222500" cy="3073997"/>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1349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20181030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IPC(主分类):C07K   5/097 专利申请号:2018105115599 申请日:20180524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20211123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20240308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IPC(主分类):C07K   5/097 声明编号:XK2023990001268 申请日:20180524 专利权人:华南理工大学 联系方式:联系人姓名：孙戈 邮编：510641 地址：广东省广州市天河区五山路381号华南理工大学37号楼202 电子邮箱：zlswzx@scut.edu.cn 电话：020-87113501 发明名称:一种具有降尿酸功效的合成多肽及其制备方法与应用和编码该多肽的基因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授权公告日:20211123 许可期限届满日:20251231 生效日期:20240308</w:t>
            </w:r>
          </w:p>
        </w:tc>
      </w:tr>
    </w:tbl>
    <w:p>
      <w:pPr>
        <w:pStyle w:val="Heading2"/>
        <w:numPr>
          <w:ilvl w:val="1"/>
          <w:numId w:val="4"/>
        </w:numPr>
        <w:bidi w:val="0"/>
        <w:rPr>
          <w:rFonts w:hint="eastAsia"/>
          <w:color w:val="auto"/>
          <w:lang w:val="en-US" w:eastAsia="zh-CN"/>
        </w:rPr>
      </w:pPr>
      <w:bookmarkStart w:id="20" w:name="_Toc51349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1349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1349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1349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1349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1349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1349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5039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1349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D101,D103,D104,D308</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1349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1349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1349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1349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190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1349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12.57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CN108715599B价值评估报告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CN108715599B价值评估报告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CN108715599B价值评估报告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