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CN202021198577.5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2020年06月24日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一种适用于治疗子宫颈病变的上药器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2021年05月07日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佛山市第五人民医院,佛山科学技术学院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43673005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708940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708940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70.45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67.34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4978500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850042"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70.99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63.16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88.37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80.07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64.81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62.36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57.61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708940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36.13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20.93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41.53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43.13万元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08940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08940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一种适用于治疗子宫颈病变的上药器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CN213131534U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2021年05月07日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CN202021198577.5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2020年06月24日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李淑英,刘竹芳,宋汝华,韩文红,杨安平,陈承谦,袁婷</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东莞市科安知识产权代理事务所(普通合伙)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王勇刚</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A61M31/00 体腔中引入或保留介质， 例如药物的器械 （ A61M25/00 优先）[2006.01]</w:t>
              <w:br/>
              <w:t>A61M13/00 治疗或消毒用的吹入器 [2006.01]吸入器具</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适用于治疗子宫颈病变的上药器，包括扩阴器，所述扩阴器上固定安装有安装板，所述安装板的底部固定安装有安装杆，所述安装杆上开设有储药腔，所述储药腔内设有压缩机构，所述压缩机构贯穿安装杆并与其滑动连接，所述储药腔的内底部设有给药机构，所述给药机构贯穿安装杆并延伸至其外部，所述安装杆的侧壁设有多个放置机构，多个所述放置机构的顶部均与压缩机构固定连接，所述压缩机构包括滑动连接在储药腔内的推杆，所述推杆位于储药腔内的一端端部固定安装有活塞，所述推杆贯穿安装杆并与其滑动连接。本实用新型结构设计合理，其能够使宫颈病变及时获得足量药物、足够疗程的治疗，利清除病患，减少并发症,促进患者早日康复，并使用简便。</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653540"/>
                  <wp:effectExtent l="0" t="0" r="0" b="0"/>
                  <wp:docPr id="2354550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55029" name=""/>
                          <pic:cNvPicPr/>
                        </pic:nvPicPr>
                        <pic:blipFill>
                          <a:blip xmlns:r="http://schemas.openxmlformats.org/officeDocument/2006/relationships" r:embed="rId13"/>
                          <a:stretch>
                            <a:fillRect/>
                          </a:stretch>
                        </pic:blipFill>
                        <pic:spPr>
                          <a:xfrm>
                            <a:off x="0" y="0"/>
                            <a:ext cx="2222500" cy="165354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08940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20210507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708940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08940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08940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08940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08940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708940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08940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2148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1504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1504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08940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08940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08940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08940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08940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0.5900000000000001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599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390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08940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0.77</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-303.56</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0.77</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CN213131534U价值评估报告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CN213131534U价值评估报告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CN213131534U价值评估报告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