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12.0 -->
  <w:body>
    <w:p>
      <w:pPr>
        <w:rPr>
          <w:rFonts w:eastAsiaTheme="minorHAnsi"/>
        </w:rPr>
      </w:pPr>
      <w:r>
        <w:rPr>
          <w:rFonts w:eastAsiaTheme="minorHAnsi"/>
        </w:rPr>
        <w:drawing>
          <wp:inline distT="0" distB="0" distL="114300" distR="114300">
            <wp:extent cx="1704975" cy="306705"/>
            <wp:effectExtent l="0" t="0" r="0" b="171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1704975" cy="306705"/>
                    </a:xfrm>
                    <a:prstGeom prst="rect">
                      <a:avLst/>
                    </a:prstGeom>
                    <a:noFill/>
                    <a:ln>
                      <a:noFill/>
                    </a:ln>
                  </pic:spPr>
                </pic:pic>
              </a:graphicData>
            </a:graphic>
          </wp:inline>
        </w:drawing>
      </w:r>
    </w:p>
    <w:p>
      <w:pPr>
        <w:rPr>
          <w:rFonts w:eastAsiaTheme="minorEastAsia" w:hint="eastAsia"/>
          <w:lang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pPr>
      <w:r>
        <w:rPr>
          <w:rFonts w:ascii="思源黑体 Bold" w:eastAsia="思源黑体 Bold" w:hAnsi="思源黑体 Bold" w:cs="思源黑体 Bold" w:hint="eastAsia"/>
          <w:color w:val="4472C4" w:themeColor="accent5"/>
          <w:sz w:val="84"/>
          <w:szCs w:val="84"/>
          <w:lang w:val="en-US" w:eastAsia="zh-CN"/>
          <w14:textFill>
            <w14:solidFill>
              <w14:schemeClr w14:val="accent5"/>
            </w14:solidFill>
          </w14:textFill>
        </w:rPr>
        <w:t>专利价值评估报告</w:t>
      </w:r>
    </w:p>
    <w:p>
      <w:pPr>
        <w:rPr>
          <w:rFonts w:hint="eastAsia"/>
          <w:lang w:val="en-US" w:eastAsia="zh-CN"/>
        </w:rPr>
      </w:pPr>
    </w:p>
    <w:p>
      <w:pPr>
        <w:rPr>
          <w:rFonts w:hint="eastAsia"/>
          <w:lang w:val="en-US" w:eastAsia="zh-CN"/>
        </w:rPr>
      </w:pPr>
    </w:p>
    <w:p>
      <w:pPr>
        <w:rPr>
          <w:rFonts w:hint="eastAsia"/>
          <w:lang w:val="en-US" w:eastAsia="zh-CN"/>
        </w:rPr>
      </w:pPr>
      <w:r>
        <w:rPr>
          <w:sz w:val="28"/>
        </w:rPr>
        <mc:AlternateContent>
          <mc:Choice Requires="wps">
            <w:drawing>
              <wp:anchor distT="0" distB="0" distL="114300" distR="114300" simplePos="0" relativeHeight="251658240" behindDoc="0" locked="0" layoutInCell="1" allowOverlap="1">
                <wp:simplePos x="0" y="0"/>
                <wp:positionH relativeFrom="column">
                  <wp:posOffset>831215</wp:posOffset>
                </wp:positionH>
                <wp:positionV relativeFrom="page">
                  <wp:posOffset>3478530</wp:posOffset>
                </wp:positionV>
                <wp:extent cx="4592320" cy="3110230"/>
                <wp:effectExtent l="0" t="0" r="0" b="0"/>
                <wp:wrapNone/>
                <wp:docPr id="5" name="文本框 5"/>
                <wp:cNvGraphicFramePr/>
                <a:graphic xmlns:a="http://schemas.openxmlformats.org/drawingml/2006/main">
                  <a:graphicData uri="http://schemas.microsoft.com/office/word/2010/wordprocessingShape">
                    <wps:wsp xmlns:wps="http://schemas.microsoft.com/office/word/2010/wordprocessingShape">
                      <wps:cNvSpPr txBox="1"/>
                      <wps:spPr>
                        <a:xfrm>
                          <a:off x="0" y="0"/>
                          <a:ext cx="4592320" cy="31102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思源黑体 CN Light" w:eastAsia="思源黑体 CN Light" w:hAnsi="思源黑体 CN Light" w:cs="思源黑体 CN Light" w:hint="eastAsia"/>
                                <w:color w:val="auto"/>
                                <w:sz w:val="40"/>
                                <w:szCs w:val="44"/>
                                <w:lang w:val="en-US" w:eastAsia="zh-CN"/>
                              </w:rPr>
                            </w:pP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_x0000_s1026" o:spid="_x0000_s1025" type="#_x0000_t202" style="width:361.6pt;height:244.9pt;margin-top:273.9pt;margin-left:65.45pt;mso-height-relative:page;mso-position-vertical-relative:page;mso-width-relative:page;position:absolute;z-index:251659264" coordsize="21600,21600" filled="f" stroked="f">
                <o:lock v:ext="edit" aspectratio="f"/>
                <v:textbox>
                  <w:txbxContent>
                    <w:p>
                      <w:pPr>
                        <w:jc w:val="center"/>
                        <w:rPr>
                          <w:rFonts w:ascii="思源黑体 CN Light" w:eastAsia="思源黑体 CN Light" w:hAnsi="思源黑体 CN Light" w:cs="思源黑体 CN Light" w:hint="eastAsia"/>
                          <w:color w:val="auto"/>
                          <w:sz w:val="40"/>
                          <w:szCs w:val="44"/>
                          <w:lang w:val="en-US" w:eastAsia="zh-CN"/>
                        </w:rPr>
                      </w:pPr>
                    </w:p>
                  </w:txbxContent>
                </v:textbox>
              </v:shape>
            </w:pict>
          </mc:Fallback>
        </mc:AlternateContent>
      </w:r>
    </w:p>
    <w:p>
      <w:pPr>
        <w:keepNext w:val="0"/>
        <w:keepLines w:val="0"/>
        <w:widowControl/>
        <w:suppressLineNumbers w:val="0"/>
        <w:ind w:left="840" w:firstLine="420" w:leftChars="0" w:firstLineChars="0"/>
        <w:jc w:val="left"/>
        <w:rPr>
          <w:rFonts w:hint="default"/>
          <w:b w:val="0"/>
          <w:bCs w:val="0"/>
          <w:color w:val="595959" w:themeColor="text1" w:themeTint="A6"/>
          <w:sz w:val="32"/>
          <w:szCs w:val="32"/>
          <w:lang w:val="en-US"/>
          <w14:textFill>
            <w14:solidFill>
              <w14:schemeClr w14:val="tx1">
                <w14:lumMod w14:val="65000"/>
                <w14:lumOff w14:val="35000"/>
              </w14:schemeClr>
            </w14:solidFill>
          </w14:textFill>
        </w:rPr>
      </w:pP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申请号</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CN201510033617.8</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   </w:t>
      </w:r>
      <w:r>
        <w:rPr>
          <w:rFonts w:ascii="Times New Roman" w:hAnsi="Times New Roman"/>
          <w:b/>
          <w:color w:val="BFBFBF"/>
          <w:sz w:val="32"/>
          <w:szCs w:val="32"/>
        </w:rPr>
        <w:t>失效</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申请日：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2015年01月22日</w:t>
      </w:r>
    </w:p>
    <w:p>
      <w:pPr>
        <w:keepNext w:val="0"/>
        <w:keepLines w:val="0"/>
        <w:widowControl/>
        <w:suppressLineNumbers w:val="0"/>
        <w:ind w:left="840" w:firstLine="420" w:leftChars="0" w:firstLineChars="0"/>
        <w:jc w:val="left"/>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发明名称：</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一种肺部CT图像的血管增强方法及系统 </w:t>
      </w:r>
    </w:p>
    <w:p>
      <w:pPr>
        <w:keepNext w:val="0"/>
        <w:keepLines w:val="0"/>
        <w:widowControl/>
        <w:suppressLineNumbers w:val="0"/>
        <w:ind w:left="840" w:firstLine="420" w:leftChars="0" w:firstLineChars="0"/>
        <w:jc w:val="left"/>
        <w:rPr>
          <w:b w:val="0"/>
          <w:bCs w:val="0"/>
          <w:color w:val="595959" w:themeColor="text1" w:themeTint="A6"/>
          <w:sz w:val="32"/>
          <w:szCs w:val="32"/>
          <w14:textFill>
            <w14:solidFill>
              <w14:schemeClr w14:val="tx1">
                <w14:lumMod w14:val="65000"/>
                <w14:lumOff w14:val="35000"/>
              </w14:schemeClr>
            </w14:solidFill>
          </w14:textFill>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授权日：</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 xml:space="preserve">2017年10月13日 </w:t>
      </w:r>
    </w:p>
    <w:p>
      <w:pPr>
        <w:keepNext w:val="0"/>
        <w:keepLines w:val="0"/>
        <w:widowControl/>
        <w:suppressLineNumbers w:val="0"/>
        <w:ind w:left="840" w:firstLine="420" w:leftChars="0" w:firstLineChars="0"/>
        <w:jc w:val="left"/>
        <w:rPr>
          <w:rFonts w:eastAsiaTheme="minorHAnsi"/>
          <w:color w:val="auto"/>
          <w:sz w:val="32"/>
          <w:szCs w:val="32"/>
        </w:rPr>
      </w:pP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专利权人：</w:t>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ab/>
      </w:r>
      <w:r>
        <w:rPr>
          <w:rFonts w:ascii="微软雅黑" w:eastAsia="微软雅黑" w:hAnsi="微软雅黑" w:cs="微软雅黑" w:hint="eastAsia"/>
          <w:b w:val="0"/>
          <w:bCs w:val="0"/>
          <w:color w:val="595959" w:themeColor="text1" w:themeTint="A6"/>
          <w:kern w:val="0"/>
          <w:sz w:val="32"/>
          <w:szCs w:val="32"/>
          <w:lang w:val="en-US" w:eastAsia="zh-CN" w:bidi="ar"/>
          <w14:textFill>
            <w14:solidFill>
              <w14:schemeClr w14:val="tx1">
                <w14:lumMod w14:val="65000"/>
                <w14:lumOff w14:val="35000"/>
              </w14:schemeClr>
            </w14:solidFill>
          </w14:textFill>
        </w:rPr>
        <w:t>深圳大学</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lang w:val="en-US" w:eastAsia="zh-CN"/>
        </w:rPr>
      </w:pPr>
      <w:r>
        <w:rPr>
          <w:rFonts w:ascii="思源黑体 CN Light" w:eastAsia="思源黑体 CN Light" w:hAnsi="思源黑体 CN Light" w:cs="思源黑体 CN Light" w:hint="eastAsia"/>
          <w:color w:val="auto"/>
          <w:sz w:val="28"/>
          <w:szCs w:val="28"/>
          <w:lang w:val="en-US" w:eastAsia="zh-CN"/>
        </w:rPr>
        <w:t>2024年08月06日</w:t>
      </w:r>
    </w:p>
    <w:p>
      <w:pPr>
        <w:rPr>
          <w:rFonts w:hint="eastAsia"/>
          <w:lang w:val="en-US" w:eastAsia="zh-CN"/>
        </w:rPr>
      </w:pPr>
    </w:p>
    <w:p>
      <w:pPr>
        <w:rPr>
          <w:rFonts w:hint="eastAsia"/>
          <w:lang w:val="en-US" w:eastAsia="zh-CN"/>
        </w:rPr>
      </w:pPr>
    </w:p>
    <w:p>
      <w:pPr>
        <w:rPr>
          <w:rFonts w:hint="eastAsia"/>
          <w:lang w:val="en-US" w:eastAsia="zh-CN"/>
        </w:rPr>
      </w:pPr>
      <w:r>
        <w:rPr>
          <w:color w:val="auto"/>
          <w:sz w:val="28"/>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ge">
                  <wp:posOffset>8267700</wp:posOffset>
                </wp:positionV>
                <wp:extent cx="5280025" cy="1187450"/>
                <wp:effectExtent l="0" t="0" r="0" b="0"/>
                <wp:wrapNone/>
                <wp:docPr id="3" name="文本框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280025" cy="1187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wps:txbx>
                      <wps:bodyPr rot="0" spcFirstLastPara="0" vertOverflow="overflow" horzOverflow="overflow" vert="horz" wrap="square" lIns="91440" tIns="45720" rIns="91440" bIns="45720" numCol="1" spcCol="0" rtlCol="0" fromWordArt="0" anchor="t" anchorCtr="0" forceAA="0" compatLnSpc="1"/>
                    </wps:wsp>
                  </a:graphicData>
                </a:graphic>
              </wp:anchor>
            </w:drawing>
          </mc:Choice>
          <mc:Fallback>
            <w:pict>
              <v:shape id="_x0000_s1026" o:spid="_x0000_s1026" type="#_x0000_t202" style="width:415.75pt;height:93.5pt;margin-top:651pt;margin-left:3.25pt;mso-height-relative:page;mso-position-vertical-relative:page;mso-width-relative:page;position:absolute;z-index:251661312" coordsize="21600,21600" filled="f" stroked="f">
                <o:lock v:ext="edit" aspectratio="f"/>
                <v:textbox>
                  <w:txbxContent>
                    <w:p>
                      <w:pPr>
                        <w:keepNext w:val="0"/>
                        <w:keepLines w:val="0"/>
                        <w:widowControl/>
                        <w:suppressLineNumbers w:val="0"/>
                        <w:jc w:val="left"/>
                        <w:rPr>
                          <w:rFonts w:ascii="微软雅黑" w:eastAsia="微软雅黑" w:hAnsi="微软雅黑" w:cs="微软雅黑" w:hint="eastAsia"/>
                          <w:color w:val="595959" w:themeColor="text1" w:themeTint="A6"/>
                          <w14:textFill>
                            <w14:solidFill>
                              <w14:schemeClr w14:val="tx1">
                                <w14:lumMod w14:val="65000"/>
                                <w14:lumOff w14:val="35000"/>
                              </w14:schemeClr>
                            </w14:solidFill>
                          </w14:textFill>
                        </w:rPr>
                      </w:pPr>
                      <w:r>
                        <w:rPr>
                          <w:rFonts w:ascii="微软雅黑" w:eastAsia="微软雅黑" w:hAnsi="微软雅黑" w:cs="微软雅黑" w:hint="eastAsia"/>
                          <w:b/>
                          <w:bCs/>
                          <w:color w:val="595959" w:themeColor="text1" w:themeTint="A6"/>
                          <w:kern w:val="0"/>
                          <w:sz w:val="24"/>
                          <w:szCs w:val="24"/>
                          <w:lang w:val="en-US" w:eastAsia="zh-CN" w:bidi="ar"/>
                          <w14:textFill>
                            <w14:solidFill>
                              <w14:schemeClr w14:val="tx1">
                                <w14:lumMod w14:val="65000"/>
                                <w14:lumOff w14:val="35000"/>
                              </w14:schemeClr>
                            </w14:solidFill>
                          </w14:textFill>
                        </w:rPr>
                        <w:t>免责声明</w:t>
                      </w:r>
                    </w:p>
                    <w:p>
                      <w:pPr>
                        <w:keepNext w:val="0"/>
                        <w:keepLines w:val="0"/>
                        <w:widowControl/>
                        <w:numPr>
                          <w:ilvl w:val="0"/>
                          <w:numId w:val="0"/>
                        </w:numPr>
                        <w:suppressLineNumbers w:val="0"/>
                        <w:ind w:leftChars="0"/>
                        <w:jc w:val="left"/>
                        <w:rPr>
                          <w:rFonts w:ascii="微软雅黑" w:eastAsia="微软雅黑" w:hAnsi="微软雅黑" w:cs="微软雅黑" w:hint="eastAsia"/>
                          <w:color w:val="595959" w:themeColor="text1" w:themeTint="A6"/>
                          <w:lang w:val="en-US" w:eastAsia="zh-CN"/>
                          <w14:textFill>
                            <w14:solidFill>
                              <w14:schemeClr w14:val="tx1">
                                <w14:lumMod w14:val="65000"/>
                                <w14:lumOff w14:val="35000"/>
                              </w14:schemeClr>
                            </w14:solidFill>
                          </w14:textFill>
                        </w:rPr>
                      </w:pPr>
                      <w:r>
                        <w:rPr>
                          <w:rFonts w:ascii="微软雅黑" w:eastAsia="微软雅黑" w:hAnsi="微软雅黑" w:cs="微软雅黑" w:hint="eastAsia"/>
                          <w:color w:val="595959" w:themeColor="text1" w:themeTint="A6"/>
                          <w:kern w:val="0"/>
                          <w:sz w:val="18"/>
                          <w:szCs w:val="18"/>
                          <w:lang w:val="en-US" w:eastAsia="zh-CN" w:bidi="ar"/>
                          <w14:textFill>
                            <w14:solidFill>
                              <w14:schemeClr w14:val="tx1">
                                <w14:lumMod w14:val="65000"/>
                                <w14:lumOff w14:val="35000"/>
                              </w14:schemeClr>
                            </w14:solidFill>
                          </w14:textFill>
                        </w:rPr>
                        <w:t>专利价值评估方法众多，本报告采用层次分析法，经一致性校验后对影响专利法律价值、技术价值、市场价值、战略价值的40余个参数进行建模对专利进行打分，并以官方发布各领域平均许可费用为基准，计算专利价值。本报告结果仅供参考，不作为任何技术、法律依据。</w:t>
                      </w:r>
                    </w:p>
                  </w:txbxContent>
                </v:textbox>
              </v:shape>
            </w:pict>
          </mc:Fallback>
        </mc:AlternateConten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sectPr>
          <w:headerReference w:type="default" r:id="rId6"/>
          <w:pgSz w:w="11906" w:h="16838"/>
          <w:pgMar w:top="1440" w:right="1800" w:bottom="1440" w:left="1800" w:header="851" w:footer="992" w:gutter="0"/>
          <w:cols w:num="1" w:space="425"/>
          <w:docGrid w:type="lines" w:linePitch="312" w:charSpace="0"/>
        </w:sectPr>
      </w:pPr>
    </w:p>
    <w:p>
      <w:pPr>
        <w:rPr>
          <w:rFonts w:hint="eastAsia"/>
          <w:b/>
          <w:bCs/>
          <w:sz w:val="44"/>
          <w:szCs w:val="52"/>
          <w:lang w:val="en-US" w:eastAsia="zh-CN"/>
        </w:rPr>
      </w:pPr>
      <w:bookmarkStart w:id="0" w:name="_Toc5798461"/>
    </w:p>
    <w:sdt>
      <w:sdtPr>
        <w:id w:val="1953886178"/>
        <w:docPartObj>
          <w:docPartGallery w:val="Table of Contents"/>
          <w:docPartUnique/>
        </w:docPartObj>
      </w:sdtPr>
      <w:sdtContent>
        <w:p>
          <w:pPr>
            <w:pStyle w:val="TOCHeading"/>
          </w:pPr>
          <w:r>
            <w:t>目录</w:t>
          </w:r>
        </w:p>
        <w:p>
          <w:pPr>
            <w:pStyle w:val="TOC1"/>
            <w:tabs>
              <w:tab w:val="left" w:pos="840"/>
              <w:tab w:val="right" w:pos="8296"/>
            </w:tabs>
            <w:rPr>
              <w:rFonts w:asciiTheme="minorHAnsi" w:hAnsiTheme="minorHAnsi"/>
              <w:noProof/>
              <w:sz w:val="22"/>
            </w:rPr>
          </w:pPr>
          <w:r>
            <w:fldChar w:fldCharType="begin"/>
          </w:r>
          <w:r>
            <w:instrText>TOC \o "1-3" \h \z \u</w:instrText>
          </w:r>
          <w:r>
            <w:fldChar w:fldCharType="separate"/>
          </w:r>
          <w:hyperlink w:anchor="_Toc256000000" w:history="1">
            <w:r>
              <w:rPr>
                <w:rStyle w:val="Hyperlink"/>
              </w:rPr>
              <w:t>1.</w:t>
            </w:r>
            <w:r>
              <w:rPr>
                <w:rFonts w:asciiTheme="minorHAnsi" w:hAnsiTheme="minorHAnsi"/>
                <w:noProof/>
                <w:sz w:val="22"/>
              </w:rPr>
              <w:tab/>
            </w:r>
            <w:r>
              <w:rPr>
                <w:rStyle w:val="Hyperlink"/>
                <w:rFonts w:hint="eastAsia"/>
              </w:rPr>
              <w:t>专利评估结果概览</w:t>
            </w:r>
            <w:r>
              <w:tab/>
            </w:r>
            <w:r>
              <w:fldChar w:fldCharType="begin"/>
            </w:r>
            <w:r>
              <w:instrText xml:space="preserve"> PAGEREF _Toc256000000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1" w:history="1">
            <w:r>
              <w:rPr>
                <w:rStyle w:val="Hyperlink"/>
              </w:rPr>
              <w:t>1.1.</w:t>
            </w:r>
            <w:r>
              <w:rPr>
                <w:rFonts w:asciiTheme="minorHAnsi" w:hAnsiTheme="minorHAnsi"/>
                <w:noProof/>
                <w:sz w:val="22"/>
              </w:rPr>
              <w:tab/>
            </w:r>
            <w:r>
              <w:rPr>
                <w:rStyle w:val="Hyperlink"/>
                <w:rFonts w:hint="eastAsia"/>
              </w:rPr>
              <w:t>专利评分结果</w:t>
            </w:r>
            <w:r>
              <w:tab/>
            </w:r>
            <w:r>
              <w:fldChar w:fldCharType="begin"/>
            </w:r>
            <w:r>
              <w:instrText xml:space="preserve"> PAGEREF _Toc256000001 \h </w:instrText>
            </w:r>
            <w:r>
              <w:fldChar w:fldCharType="separate"/>
            </w:r>
            <w:r>
              <w:t>1</w:t>
            </w:r>
            <w:r>
              <w:fldChar w:fldCharType="end"/>
            </w:r>
          </w:hyperlink>
        </w:p>
        <w:p>
          <w:pPr>
            <w:pStyle w:val="TOC2"/>
            <w:tabs>
              <w:tab w:val="left" w:pos="840"/>
              <w:tab w:val="right" w:pos="8296"/>
            </w:tabs>
            <w:rPr>
              <w:rFonts w:asciiTheme="minorHAnsi" w:hAnsiTheme="minorHAnsi"/>
              <w:noProof/>
              <w:sz w:val="22"/>
            </w:rPr>
          </w:pPr>
          <w:hyperlink w:anchor="_Toc256000002" w:history="1">
            <w:r>
              <w:rPr>
                <w:rStyle w:val="Hyperlink"/>
              </w:rPr>
              <w:t>1.2.</w:t>
            </w:r>
            <w:r>
              <w:rPr>
                <w:rFonts w:asciiTheme="minorHAnsi" w:hAnsiTheme="minorHAnsi"/>
                <w:noProof/>
                <w:sz w:val="22"/>
              </w:rPr>
              <w:tab/>
            </w:r>
            <w:r>
              <w:rPr>
                <w:rStyle w:val="Hyperlink"/>
                <w:rFonts w:hint="eastAsia"/>
              </w:rPr>
              <w:t>专利估值结果</w:t>
            </w:r>
            <w:r>
              <w:tab/>
            </w:r>
            <w:r>
              <w:fldChar w:fldCharType="begin"/>
            </w:r>
            <w:r>
              <w:instrText xml:space="preserve"> PAGEREF _Toc256000002 \h </w:instrText>
            </w:r>
            <w:r>
              <w:fldChar w:fldCharType="separate"/>
            </w:r>
            <w:r>
              <w:t>1</w:t>
            </w:r>
            <w:r>
              <w:fldChar w:fldCharType="end"/>
            </w:r>
          </w:hyperlink>
        </w:p>
        <w:p>
          <w:pPr>
            <w:pStyle w:val="TOC1"/>
            <w:tabs>
              <w:tab w:val="left" w:pos="840"/>
              <w:tab w:val="right" w:pos="8296"/>
            </w:tabs>
            <w:rPr>
              <w:rFonts w:asciiTheme="minorHAnsi" w:hAnsiTheme="minorHAnsi"/>
              <w:noProof/>
              <w:sz w:val="22"/>
            </w:rPr>
          </w:pPr>
          <w:hyperlink w:anchor="_Toc256000003" w:history="1">
            <w:r>
              <w:rPr>
                <w:rStyle w:val="Hyperlink"/>
              </w:rPr>
              <w:t>2.</w:t>
            </w:r>
            <w:r>
              <w:rPr>
                <w:rFonts w:asciiTheme="minorHAnsi" w:hAnsiTheme="minorHAnsi"/>
                <w:noProof/>
                <w:sz w:val="22"/>
              </w:rPr>
              <w:tab/>
            </w:r>
            <w:r>
              <w:rPr>
                <w:rStyle w:val="Hyperlink"/>
                <w:rFonts w:hint="eastAsia"/>
              </w:rPr>
              <w:t>专利画像</w:t>
            </w:r>
            <w:r>
              <w:tab/>
            </w:r>
            <w:r>
              <w:fldChar w:fldCharType="begin"/>
            </w:r>
            <w:r>
              <w:instrText xml:space="preserve"> PAGEREF _Toc256000003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4" w:history="1">
            <w:r>
              <w:rPr>
                <w:rStyle w:val="Hyperlink"/>
              </w:rPr>
              <w:t>2.1</w:t>
            </w:r>
            <w:r>
              <w:rPr>
                <w:rStyle w:val="Hyperlink"/>
              </w:rPr>
              <w:t xml:space="preserve"> </w:t>
            </w:r>
            <w:r>
              <w:rPr>
                <w:rStyle w:val="Hyperlink"/>
                <w:rFonts w:hint="eastAsia"/>
              </w:rPr>
              <w:t>专利基本信息</w:t>
            </w:r>
            <w:r>
              <w:tab/>
            </w:r>
            <w:r>
              <w:fldChar w:fldCharType="begin"/>
            </w:r>
            <w:r>
              <w:instrText xml:space="preserve"> PAGEREF _Toc256000004 \h </w:instrText>
            </w:r>
            <w:r>
              <w:fldChar w:fldCharType="separate"/>
            </w:r>
            <w:r>
              <w:t>3</w:t>
            </w:r>
            <w:r>
              <w:fldChar w:fldCharType="end"/>
            </w:r>
          </w:hyperlink>
        </w:p>
        <w:p>
          <w:pPr>
            <w:pStyle w:val="TOC2"/>
            <w:tabs>
              <w:tab w:val="right" w:pos="8296"/>
            </w:tabs>
            <w:rPr>
              <w:rFonts w:asciiTheme="minorHAnsi" w:hAnsiTheme="minorHAnsi"/>
              <w:noProof/>
              <w:sz w:val="22"/>
            </w:rPr>
          </w:pPr>
          <w:hyperlink w:anchor="_Toc256000005" w:history="1">
            <w:r>
              <w:rPr>
                <w:rStyle w:val="Hyperlink"/>
              </w:rPr>
              <w:t>2.2</w:t>
            </w:r>
            <w:r>
              <w:rPr>
                <w:rStyle w:val="Hyperlink"/>
              </w:rPr>
              <w:t xml:space="preserve"> </w:t>
            </w:r>
            <w:r>
              <w:rPr>
                <w:rStyle w:val="Hyperlink"/>
                <w:rFonts w:hint="eastAsia"/>
              </w:rPr>
              <w:t>专利事务公告信息</w:t>
            </w:r>
            <w:r>
              <w:tab/>
            </w:r>
            <w:r>
              <w:fldChar w:fldCharType="begin"/>
            </w:r>
            <w:r>
              <w:instrText xml:space="preserve"> PAGEREF _Toc256000005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6" w:history="1">
            <w:r>
              <w:rPr>
                <w:rStyle w:val="Hyperlink"/>
              </w:rPr>
              <w:t>2.3</w:t>
            </w:r>
            <w:r>
              <w:rPr>
                <w:rStyle w:val="Hyperlink"/>
              </w:rPr>
              <w:t xml:space="preserve"> </w:t>
            </w:r>
            <w:r>
              <w:rPr>
                <w:rStyle w:val="Hyperlink"/>
                <w:rFonts w:hint="eastAsia"/>
              </w:rPr>
              <w:t>专利引证信息</w:t>
            </w:r>
            <w:r>
              <w:tab/>
            </w:r>
            <w:r>
              <w:fldChar w:fldCharType="begin"/>
            </w:r>
            <w:r>
              <w:instrText xml:space="preserve"> PAGEREF _Toc256000006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7" w:history="1">
            <w:r>
              <w:rPr>
                <w:rStyle w:val="Hyperlink"/>
              </w:rPr>
              <w:t>2.3.1</w:t>
            </w:r>
            <w:r>
              <w:rPr>
                <w:rStyle w:val="Hyperlink"/>
              </w:rPr>
              <w:t xml:space="preserve"> </w:t>
            </w:r>
            <w:r>
              <w:rPr>
                <w:rStyle w:val="Hyperlink"/>
                <w:rFonts w:hint="eastAsia"/>
              </w:rPr>
              <w:t>简单同族引证专利</w:t>
            </w:r>
            <w:r>
              <w:tab/>
            </w:r>
            <w:r>
              <w:fldChar w:fldCharType="begin"/>
            </w:r>
            <w:r>
              <w:instrText xml:space="preserve"> PAGEREF _Toc256000007 \h </w:instrText>
            </w:r>
            <w:r>
              <w:fldChar w:fldCharType="separate"/>
            </w:r>
            <w:r>
              <w:t>4</w:t>
            </w:r>
            <w:r>
              <w:fldChar w:fldCharType="end"/>
            </w:r>
          </w:hyperlink>
        </w:p>
        <w:p>
          <w:pPr>
            <w:pStyle w:val="TOC3"/>
            <w:tabs>
              <w:tab w:val="right" w:pos="8296"/>
            </w:tabs>
            <w:rPr>
              <w:rFonts w:asciiTheme="minorHAnsi" w:hAnsiTheme="minorHAnsi"/>
              <w:noProof/>
              <w:sz w:val="22"/>
            </w:rPr>
          </w:pPr>
          <w:hyperlink w:anchor="_Toc256000008" w:history="1">
            <w:r>
              <w:rPr>
                <w:rStyle w:val="Hyperlink"/>
                <w:rFonts w:hint="eastAsia"/>
              </w:rPr>
              <w:t>2.4.2 简单同族引证</w:t>
            </w:r>
            <w:r>
              <w:tab/>
            </w:r>
            <w:r>
              <w:fldChar w:fldCharType="begin"/>
            </w:r>
            <w:r>
              <w:instrText xml:space="preserve"> PAGEREF _Toc256000008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09" w:history="1">
            <w:r>
              <w:rPr>
                <w:rStyle w:val="Hyperlink"/>
              </w:rPr>
              <w:t>2.4</w:t>
            </w:r>
            <w:r>
              <w:rPr>
                <w:rStyle w:val="Hyperlink"/>
              </w:rPr>
              <w:t xml:space="preserve"> </w:t>
            </w:r>
            <w:r>
              <w:rPr>
                <w:rStyle w:val="Hyperlink"/>
                <w:rFonts w:hint="eastAsia"/>
              </w:rPr>
              <w:t>专利运营信息</w:t>
            </w:r>
            <w:r>
              <w:tab/>
            </w:r>
            <w:r>
              <w:fldChar w:fldCharType="begin"/>
            </w:r>
            <w:r>
              <w:instrText xml:space="preserve"> PAGEREF _Toc256000009 \h </w:instrText>
            </w:r>
            <w:r>
              <w:fldChar w:fldCharType="separate"/>
            </w:r>
            <w:r>
              <w:t>4</w:t>
            </w:r>
            <w:r>
              <w:fldChar w:fldCharType="end"/>
            </w:r>
          </w:hyperlink>
        </w:p>
        <w:p>
          <w:pPr>
            <w:pStyle w:val="TOC2"/>
            <w:tabs>
              <w:tab w:val="right" w:pos="8296"/>
            </w:tabs>
            <w:rPr>
              <w:rFonts w:asciiTheme="minorHAnsi" w:hAnsiTheme="minorHAnsi"/>
              <w:noProof/>
              <w:sz w:val="22"/>
            </w:rPr>
          </w:pPr>
          <w:hyperlink w:anchor="_Toc256000010" w:history="1">
            <w:r>
              <w:rPr>
                <w:rStyle w:val="Hyperlink"/>
              </w:rPr>
              <w:t>2.5</w:t>
            </w:r>
            <w:r>
              <w:rPr>
                <w:rStyle w:val="Hyperlink"/>
              </w:rPr>
              <w:t xml:space="preserve"> </w:t>
            </w:r>
            <w:r>
              <w:rPr>
                <w:rStyle w:val="Hyperlink"/>
                <w:rFonts w:hint="eastAsia"/>
              </w:rPr>
              <w:t>专利复审/无效/诉讼信息</w:t>
            </w:r>
            <w:r>
              <w:tab/>
            </w:r>
            <w:r>
              <w:fldChar w:fldCharType="begin"/>
            </w:r>
            <w:r>
              <w:instrText xml:space="preserve"> PAGEREF _Toc256000010 \h </w:instrText>
            </w:r>
            <w:r>
              <w:fldChar w:fldCharType="separate"/>
            </w:r>
            <w:r>
              <w:t>5</w:t>
            </w:r>
            <w:r>
              <w:fldChar w:fldCharType="end"/>
            </w:r>
          </w:hyperlink>
        </w:p>
        <w:p>
          <w:pPr>
            <w:pStyle w:val="TOC1"/>
            <w:tabs>
              <w:tab w:val="left" w:pos="840"/>
              <w:tab w:val="right" w:pos="8296"/>
            </w:tabs>
            <w:rPr>
              <w:rFonts w:asciiTheme="minorHAnsi" w:hAnsiTheme="minorHAnsi"/>
              <w:noProof/>
              <w:sz w:val="22"/>
            </w:rPr>
          </w:pPr>
          <w:hyperlink w:anchor="_Toc256000011" w:history="1">
            <w:r>
              <w:rPr>
                <w:rStyle w:val="Hyperlink"/>
              </w:rPr>
              <w:t>3.</w:t>
            </w:r>
            <w:r>
              <w:rPr>
                <w:rFonts w:asciiTheme="minorHAnsi" w:hAnsiTheme="minorHAnsi"/>
                <w:noProof/>
                <w:sz w:val="22"/>
              </w:rPr>
              <w:tab/>
            </w:r>
            <w:r>
              <w:rPr>
                <w:rStyle w:val="Hyperlink"/>
                <w:rFonts w:hint="eastAsia"/>
              </w:rPr>
              <w:t>专利评分详情</w:t>
            </w:r>
            <w:r>
              <w:tab/>
            </w:r>
            <w:r>
              <w:fldChar w:fldCharType="begin"/>
            </w:r>
            <w:r>
              <w:instrText xml:space="preserve"> PAGEREF _Toc256000011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2" w:history="1">
            <w:r>
              <w:rPr>
                <w:rStyle w:val="Hyperlink"/>
              </w:rPr>
              <w:t>3.1</w:t>
            </w:r>
            <w:r>
              <w:rPr>
                <w:rStyle w:val="Hyperlink"/>
              </w:rPr>
              <w:t xml:space="preserve"> </w:t>
            </w:r>
            <w:r>
              <w:rPr>
                <w:rStyle w:val="Hyperlink"/>
                <w:rFonts w:hint="eastAsia"/>
              </w:rPr>
              <w:t>法律价值评分详情</w:t>
            </w:r>
            <w:r>
              <w:tab/>
            </w:r>
            <w:r>
              <w:fldChar w:fldCharType="begin"/>
            </w:r>
            <w:r>
              <w:instrText xml:space="preserve"> PAGEREF _Toc256000012 \h </w:instrText>
            </w:r>
            <w:r>
              <w:fldChar w:fldCharType="separate"/>
            </w:r>
            <w:r>
              <w:t>5</w:t>
            </w:r>
            <w:r>
              <w:fldChar w:fldCharType="end"/>
            </w:r>
          </w:hyperlink>
        </w:p>
        <w:p>
          <w:pPr>
            <w:pStyle w:val="TOC2"/>
            <w:tabs>
              <w:tab w:val="right" w:pos="8296"/>
            </w:tabs>
            <w:rPr>
              <w:rFonts w:asciiTheme="minorHAnsi" w:hAnsiTheme="minorHAnsi"/>
              <w:noProof/>
              <w:sz w:val="22"/>
            </w:rPr>
          </w:pPr>
          <w:hyperlink w:anchor="_Toc256000013" w:history="1">
            <w:r>
              <w:rPr>
                <w:rStyle w:val="Hyperlink"/>
              </w:rPr>
              <w:t>3.2</w:t>
            </w:r>
            <w:r>
              <w:rPr>
                <w:rStyle w:val="Hyperlink"/>
              </w:rPr>
              <w:t xml:space="preserve"> </w:t>
            </w:r>
            <w:r>
              <w:rPr>
                <w:rStyle w:val="Hyperlink"/>
                <w:rFonts w:hint="eastAsia"/>
              </w:rPr>
              <w:t>技术价值评分详情</w:t>
            </w:r>
            <w:r>
              <w:tab/>
            </w:r>
            <w:r>
              <w:fldChar w:fldCharType="begin"/>
            </w:r>
            <w:r>
              <w:instrText xml:space="preserve"> PAGEREF _Toc256000013 \h </w:instrText>
            </w:r>
            <w:r>
              <w:fldChar w:fldCharType="separate"/>
            </w:r>
            <w:r>
              <w:t>6</w:t>
            </w:r>
            <w:r>
              <w:fldChar w:fldCharType="end"/>
            </w:r>
          </w:hyperlink>
        </w:p>
        <w:p>
          <w:pPr>
            <w:pStyle w:val="TOC2"/>
            <w:tabs>
              <w:tab w:val="right" w:pos="8296"/>
            </w:tabs>
            <w:rPr>
              <w:rFonts w:asciiTheme="minorHAnsi" w:hAnsiTheme="minorHAnsi"/>
              <w:noProof/>
              <w:sz w:val="22"/>
            </w:rPr>
          </w:pPr>
          <w:hyperlink w:anchor="_Toc256000014" w:history="1">
            <w:r>
              <w:rPr>
                <w:rStyle w:val="Hyperlink"/>
              </w:rPr>
              <w:t>3.3</w:t>
            </w:r>
            <w:r>
              <w:rPr>
                <w:rStyle w:val="Hyperlink"/>
              </w:rPr>
              <w:t xml:space="preserve"> </w:t>
            </w:r>
            <w:r>
              <w:rPr>
                <w:rStyle w:val="Hyperlink"/>
                <w:rFonts w:hint="eastAsia"/>
              </w:rPr>
              <w:t>市场价值评分详情</w:t>
            </w:r>
            <w:r>
              <w:tab/>
            </w:r>
            <w:r>
              <w:fldChar w:fldCharType="begin"/>
            </w:r>
            <w:r>
              <w:instrText xml:space="preserve"> PAGEREF _Toc256000014 \h </w:instrText>
            </w:r>
            <w:r>
              <w:fldChar w:fldCharType="separate"/>
            </w:r>
            <w:r>
              <w:t>7</w:t>
            </w:r>
            <w:r>
              <w:fldChar w:fldCharType="end"/>
            </w:r>
          </w:hyperlink>
        </w:p>
        <w:p>
          <w:pPr>
            <w:pStyle w:val="TOC2"/>
            <w:tabs>
              <w:tab w:val="right" w:pos="8296"/>
            </w:tabs>
            <w:rPr>
              <w:rFonts w:asciiTheme="minorHAnsi" w:hAnsiTheme="minorHAnsi"/>
              <w:noProof/>
              <w:sz w:val="22"/>
            </w:rPr>
          </w:pPr>
          <w:hyperlink w:anchor="_Toc256000015" w:history="1">
            <w:r>
              <w:rPr>
                <w:rStyle w:val="Hyperlink"/>
              </w:rPr>
              <w:t>3.4</w:t>
            </w:r>
            <w:r>
              <w:rPr>
                <w:rStyle w:val="Hyperlink"/>
              </w:rPr>
              <w:t xml:space="preserve"> </w:t>
            </w:r>
            <w:r>
              <w:rPr>
                <w:rStyle w:val="Hyperlink"/>
                <w:rFonts w:hint="eastAsia"/>
              </w:rPr>
              <w:t>战略价值评分详情</w:t>
            </w:r>
            <w:r>
              <w:tab/>
            </w:r>
            <w:r>
              <w:fldChar w:fldCharType="begin"/>
            </w:r>
            <w:r>
              <w:instrText xml:space="preserve"> PAGEREF _Toc256000015 \h </w:instrText>
            </w:r>
            <w:r>
              <w:fldChar w:fldCharType="separate"/>
            </w:r>
            <w:r>
              <w:t>8</w:t>
            </w:r>
            <w:r>
              <w:fldChar w:fldCharType="end"/>
            </w:r>
          </w:hyperlink>
        </w:p>
        <w:p>
          <w:pPr>
            <w:pStyle w:val="TOC1"/>
            <w:tabs>
              <w:tab w:val="left" w:pos="840"/>
              <w:tab w:val="right" w:pos="8296"/>
            </w:tabs>
            <w:rPr>
              <w:rFonts w:asciiTheme="minorHAnsi" w:hAnsiTheme="minorHAnsi"/>
              <w:noProof/>
              <w:sz w:val="22"/>
            </w:rPr>
          </w:pPr>
          <w:hyperlink w:anchor="_Toc256000016" w:history="1">
            <w:r>
              <w:rPr>
                <w:rStyle w:val="Hyperlink"/>
                <w:rFonts w:hint="eastAsia"/>
              </w:rPr>
              <w:t>4.</w:t>
            </w:r>
            <w:r>
              <w:rPr>
                <w:rFonts w:asciiTheme="minorHAnsi" w:hAnsiTheme="minorHAnsi" w:hint="eastAsia"/>
                <w:noProof/>
                <w:sz w:val="22"/>
              </w:rPr>
              <w:tab/>
            </w:r>
            <w:r>
              <w:rPr>
                <w:rStyle w:val="Hyperlink"/>
                <w:rFonts w:hint="eastAsia"/>
              </w:rPr>
              <w:t>领域分析</w:t>
            </w:r>
            <w:r>
              <w:tab/>
            </w:r>
            <w:r>
              <w:fldChar w:fldCharType="begin"/>
            </w:r>
            <w:r>
              <w:instrText xml:space="preserve"> PAGEREF _Toc256000016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7" w:history="1">
            <w:r>
              <w:rPr>
                <w:rStyle w:val="Hyperlink"/>
              </w:rPr>
              <w:t>4.1</w:t>
            </w:r>
            <w:r>
              <w:rPr>
                <w:rStyle w:val="Hyperlink"/>
              </w:rPr>
              <w:t xml:space="preserve"> </w:t>
            </w:r>
            <w:r>
              <w:rPr>
                <w:rStyle w:val="Hyperlink"/>
                <w:rFonts w:hint="eastAsia"/>
              </w:rPr>
              <w:t>市场价值度</w:t>
            </w:r>
            <w:r>
              <w:tab/>
            </w:r>
            <w:r>
              <w:fldChar w:fldCharType="begin"/>
            </w:r>
            <w:r>
              <w:instrText xml:space="preserve"> PAGEREF _Toc256000017 \h </w:instrText>
            </w:r>
            <w:r>
              <w:fldChar w:fldCharType="separate"/>
            </w:r>
            <w:r>
              <w:t>9</w:t>
            </w:r>
            <w:r>
              <w:fldChar w:fldCharType="end"/>
            </w:r>
          </w:hyperlink>
        </w:p>
        <w:p>
          <w:pPr>
            <w:pStyle w:val="TOC2"/>
            <w:tabs>
              <w:tab w:val="right" w:pos="8296"/>
            </w:tabs>
            <w:rPr>
              <w:rFonts w:asciiTheme="minorHAnsi" w:hAnsiTheme="minorHAnsi"/>
              <w:noProof/>
              <w:sz w:val="22"/>
            </w:rPr>
          </w:pPr>
          <w:hyperlink w:anchor="_Toc256000018" w:history="1">
            <w:r>
              <w:rPr>
                <w:rStyle w:val="Hyperlink"/>
              </w:rPr>
              <w:t>4.2</w:t>
            </w:r>
            <w:r>
              <w:rPr>
                <w:rStyle w:val="Hyperlink"/>
              </w:rPr>
              <w:t xml:space="preserve"> </w:t>
            </w:r>
            <w:r>
              <w:rPr>
                <w:rStyle w:val="Hyperlink"/>
                <w:rFonts w:hint="eastAsia"/>
              </w:rPr>
              <w:t>创造性高度</w:t>
            </w:r>
            <w:r>
              <w:tab/>
            </w:r>
            <w:r>
              <w:fldChar w:fldCharType="begin"/>
            </w:r>
            <w:r>
              <w:instrText xml:space="preserve"> PAGEREF _Toc256000018 \h </w:instrText>
            </w:r>
            <w:r>
              <w:fldChar w:fldCharType="separate"/>
            </w:r>
            <w:r>
              <w:t>9</w:t>
            </w:r>
            <w:r>
              <w:fldChar w:fldCharType="end"/>
            </w:r>
          </w:hyperlink>
        </w:p>
        <w:p>
          <w:r>
            <w:fldChar w:fldCharType="end"/>
          </w:r>
        </w:p>
      </w:sdtContent>
    </w:sdt>
    <w:p>
      <w:pPr>
        <w:rPr>
          <w:rFonts w:hint="eastAsia"/>
          <w:b/>
          <w:bCs/>
          <w:sz w:val="44"/>
          <w:szCs w:val="52"/>
          <w:lang w:val="en-US" w:eastAsia="zh-CN"/>
        </w:rPr>
        <w:sectPr>
          <w:headerReference w:type="default" r:id="rId7"/>
          <w:footerReference w:type="default" r:id="rId8"/>
          <w:footerReference w:type="first" r:id="rId9"/>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cols w:num="1" w:space="425"/>
          <w:docGrid w:type="lines" w:linePitch="312" w:charSpace="0"/>
        </w:sectPr>
      </w:pPr>
    </w:p>
    <w:p>
      <w:pPr>
        <w:rPr>
          <w:rFonts w:hint="eastAsia"/>
          <w:b/>
          <w:bCs/>
          <w:sz w:val="44"/>
          <w:szCs w:val="52"/>
          <w:lang w:val="en-US" w:eastAsia="zh-CN"/>
        </w:rPr>
      </w:pPr>
    </w:p>
    <w:p>
      <w:pPr>
        <w:bidi w:val="0"/>
        <w:jc w:val="center"/>
        <w:rPr>
          <w:rFonts w:hint="eastAsia"/>
          <w:b/>
          <w:bCs/>
          <w:sz w:val="44"/>
          <w:szCs w:val="52"/>
          <w:lang w:val="en-US" w:eastAsia="zh-CN"/>
        </w:rPr>
      </w:pPr>
      <w:r>
        <w:rPr>
          <w:rFonts w:hint="eastAsia"/>
          <w:b/>
          <w:bCs/>
          <w:sz w:val="44"/>
          <w:szCs w:val="52"/>
          <w:lang w:val="en-US" w:eastAsia="zh-CN"/>
        </w:rPr>
        <w:t>专利价值评估报告</w:t>
      </w:r>
    </w:p>
    <w:p>
      <w:pPr>
        <w:pStyle w:val="Heading1"/>
        <w:numPr>
          <w:ilvl w:val="0"/>
          <w:numId w:val="1"/>
        </w:numPr>
        <w:bidi w:val="0"/>
        <w:ind w:left="425" w:hanging="425" w:leftChars="0" w:firstLineChars="0"/>
        <w:rPr>
          <w:rFonts w:hint="eastAsia"/>
          <w:color w:val="auto"/>
          <w:lang w:val="en-US" w:eastAsia="zh-CN"/>
        </w:rPr>
      </w:pPr>
      <w:bookmarkStart w:id="1" w:name="_Toc97759721"/>
      <w:bookmarkStart w:id="2" w:name="_Toc19409"/>
      <w:bookmarkStart w:id="3" w:name="_Toc256000000"/>
      <w:r>
        <w:rPr>
          <w:rFonts w:hint="eastAsia"/>
          <w:color w:val="auto"/>
          <w:lang w:val="en-US" w:eastAsia="zh-CN"/>
        </w:rPr>
        <w:t>专利评估结果概览</w:t>
      </w:r>
      <w:bookmarkEnd w:id="3"/>
      <w:bookmarkEnd w:id="2"/>
      <w:bookmarkEnd w:id="1"/>
    </w:p>
    <w:p>
      <w:pPr>
        <w:pStyle w:val="Heading2"/>
        <w:numPr>
          <w:ilvl w:val="1"/>
          <w:numId w:val="1"/>
        </w:numPr>
        <w:bidi w:val="0"/>
        <w:ind w:left="567" w:hanging="567" w:leftChars="0" w:firstLineChars="0"/>
        <w:rPr>
          <w:rFonts w:hint="default"/>
          <w:color w:val="auto"/>
          <w:lang w:val="en-US" w:eastAsia="zh-CN"/>
        </w:rPr>
      </w:pPr>
      <w:bookmarkStart w:id="4" w:name="_Toc97759722"/>
      <w:bookmarkStart w:id="5" w:name="_Toc3352"/>
      <w:bookmarkStart w:id="6" w:name="_Toc256000001"/>
      <w:r>
        <w:rPr>
          <w:rFonts w:hint="eastAsia"/>
          <w:color w:val="auto"/>
          <w:lang w:val="en-US" w:eastAsia="zh-CN"/>
        </w:rPr>
        <w:t>专利评分结果</w:t>
      </w:r>
      <w:bookmarkEnd w:id="6"/>
      <w:bookmarkEnd w:id="5"/>
      <w:bookmarkEnd w:id="4"/>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1281"/>
        <w:gridCol w:w="1403"/>
        <w:gridCol w:w="1499"/>
        <w:gridCol w:w="3938"/>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408"/>
          <w:jc w:val="center"/>
        </w:trPr>
        <w:tc>
          <w:tcPr>
            <w:tcW w:w="128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403"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1499"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c>
          <w:tcPr>
            <w:tcW w:w="3938" w:type="dxa"/>
            <w:shd w:val="clear" w:color="auto" w:fill="BDD6EE" w:themeFill="accent1" w:themeFillTint="66"/>
            <w:vAlign w:val="center"/>
          </w:tcPr>
          <w:p>
            <w:pPr>
              <w:jc w:val="center"/>
              <w:rPr>
                <w:rFonts w:eastAsiaTheme="minorEastAsia" w:hint="eastAsia"/>
                <w:color w:val="auto"/>
                <w:lang w:val="en-US" w:eastAsia="zh-CN"/>
              </w:rPr>
            </w:pPr>
            <w:r>
              <w:rPr>
                <w:rFonts w:ascii="宋体" w:eastAsia="宋体" w:hAnsi="宋体" w:cs="宋体" w:hint="eastAsia"/>
                <w:b/>
                <w:bCs/>
                <w:i w:val="0"/>
                <w:iCs w:val="0"/>
                <w:color w:val="auto"/>
                <w:sz w:val="22"/>
                <w:szCs w:val="22"/>
                <w:u w:val="none"/>
                <w:lang w:val="en-US" w:eastAsia="zh-CN"/>
              </w:rPr>
              <w:t>雷达图</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综合评分</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71.02</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bCs/>
                <w:color w:val="auto"/>
                <w:kern w:val="0"/>
                <w:sz w:val="22"/>
                <w:szCs w:val="22"/>
                <w:lang w:val="en-US" w:eastAsia="zh-CN" w:bidi="ar"/>
              </w:rPr>
            </w:pPr>
            <w:r>
              <w:rPr>
                <w:rFonts w:ascii="宋体" w:eastAsia="宋体" w:hAnsi="宋体" w:cs="宋体" w:hint="eastAsia"/>
                <w:b/>
                <w:bCs/>
                <w:color w:val="auto"/>
                <w:kern w:val="0"/>
                <w:sz w:val="22"/>
                <w:szCs w:val="22"/>
                <w:lang w:val="en-US" w:eastAsia="zh-CN" w:bidi="ar"/>
              </w:rPr>
              <w:t>71.44</w:t>
            </w:r>
          </w:p>
        </w:tc>
        <w:tc>
          <w:tcPr>
            <w:tcW w:w="3938" w:type="dxa"/>
            <w:vMerge w:val="restart"/>
            <w:shd w:val="clear" w:color="auto" w:fill="FFFFFF" w:themeFill="background1"/>
            <w:vAlign w:val="center"/>
          </w:tcPr>
          <w:p>
            <w:pPr>
              <w:jc w:val="center"/>
              <w:rPr>
                <w:rFonts w:hint="default"/>
                <w:color w:val="auto"/>
                <w:vertAlign w:val="baseline"/>
                <w:lang w:val="en-US" w:eastAsia="zh-CN"/>
              </w:rPr>
            </w:pPr>
          </w:p>
          <w:p>
            <w:pPr>
              <w:jc w:val="center"/>
            </w:pPr>
            <w:r>
              <w:drawing>
                <wp:inline distT="0" distB="0" distL="0" distR="0">
                  <wp:extent cx="2222500" cy="2336474"/>
                  <wp:effectExtent l="0" t="0" r="0" b="0"/>
                  <wp:docPr id="26271461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714615" name=""/>
                          <pic:cNvPicPr/>
                        </pic:nvPicPr>
                        <pic:blipFill>
                          <a:blip xmlns:r="http://schemas.openxmlformats.org/officeDocument/2006/relationships" r:embed="rId10"/>
                          <a:stretch>
                            <a:fillRect/>
                          </a:stretch>
                        </pic:blipFill>
                        <pic:spPr>
                          <a:xfrm>
                            <a:off x="0" y="0"/>
                            <a:ext cx="2222500" cy="2336474"/>
                          </a:xfrm>
                          <a:prstGeom prst="rect">
                            <a:avLst/>
                          </a:prstGeom>
                        </pic:spPr>
                      </pic:pic>
                    </a:graphicData>
                  </a:graphic>
                </wp:inline>
              </w:drawing>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法律价值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68.13</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70.42</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技术价值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87.54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83.89</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市场价值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68.84</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66.75</w:t>
            </w:r>
          </w:p>
        </w:tc>
        <w:tc>
          <w:tcPr>
            <w:tcW w:w="3938" w:type="dxa"/>
            <w:vMerge/>
            <w:shd w:val="clear" w:color="auto" w:fill="FFFFFF" w:themeFill="background1"/>
            <w:vAlign w:val="center"/>
          </w:tcPr>
          <w:p>
            <w:pPr>
              <w:jc w:val="center"/>
              <w:rPr>
                <w:rFonts w:hint="eastAsia"/>
                <w:color w:val="auto"/>
                <w:vertAlign w:val="baseline"/>
                <w:lang w:val="en-US" w:eastAsia="zh-CN"/>
              </w:rPr>
            </w:pP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1281" w:type="dxa"/>
            <w:shd w:val="clear" w:color="auto" w:fill="FFFFFF" w:themeFill="background1"/>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战略价值</w:t>
            </w:r>
          </w:p>
        </w:tc>
        <w:tc>
          <w:tcPr>
            <w:tcW w:w="140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59.56</w:t>
            </w:r>
          </w:p>
        </w:tc>
        <w:tc>
          <w:tcPr>
            <w:tcW w:w="1499"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55.03</w:t>
            </w:r>
          </w:p>
        </w:tc>
        <w:tc>
          <w:tcPr>
            <w:tcW w:w="3938" w:type="dxa"/>
            <w:vMerge/>
            <w:shd w:val="clear" w:color="auto" w:fill="FFFFFF" w:themeFill="background1"/>
            <w:vAlign w:val="center"/>
          </w:tcPr>
          <w:p>
            <w:pPr>
              <w:jc w:val="center"/>
              <w:rPr>
                <w:rFonts w:hint="eastAsia"/>
                <w:color w:val="auto"/>
                <w:vertAlign w:val="baseline"/>
                <w:lang w:val="en-US" w:eastAsia="zh-CN"/>
              </w:rPr>
            </w:pPr>
          </w:p>
        </w:tc>
      </w:tr>
    </w:tbl>
    <w:p>
      <w:pPr>
        <w:pStyle w:val="Heading2"/>
        <w:numPr>
          <w:ilvl w:val="1"/>
          <w:numId w:val="1"/>
        </w:numPr>
        <w:bidi w:val="0"/>
        <w:ind w:left="567" w:hanging="567" w:leftChars="0" w:firstLineChars="0"/>
        <w:rPr>
          <w:rFonts w:hint="default"/>
          <w:color w:val="auto"/>
          <w:lang w:val="en-US" w:eastAsia="zh-CN"/>
        </w:rPr>
      </w:pPr>
      <w:bookmarkStart w:id="7" w:name="_Toc97759723"/>
      <w:bookmarkStart w:id="8" w:name="_Toc15233"/>
      <w:bookmarkStart w:id="9" w:name="_Toc256000002"/>
      <w:r>
        <w:rPr>
          <w:rFonts w:hint="eastAsia"/>
          <w:color w:val="auto"/>
          <w:lang w:val="en-US" w:eastAsia="zh-CN"/>
        </w:rPr>
        <w:t>专利估值结果</w:t>
      </w:r>
      <w:bookmarkEnd w:id="9"/>
      <w:bookmarkEnd w:id="8"/>
      <w:bookmarkEnd w:id="7"/>
    </w:p>
    <w:p>
      <w:pPr>
        <w:rPr>
          <w:color w:val="auto"/>
        </w:rPr>
      </w:pPr>
    </w:p>
    <w:tbl>
      <w:tblPr>
        <w:tblStyle w:val="TableGrid"/>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
      <w:tblGrid>
        <w:gridCol w:w="2190"/>
        <w:gridCol w:w="2616"/>
        <w:gridCol w:w="3315"/>
      </w:tblGrid>
      <w:tr>
        <w:tblPrEx>
          <w:tblW w:w="8121"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FF" w:themeFill="background1"/>
          <w:tblLayout w:type="fixed"/>
          <w:tblCellMar>
            <w:top w:w="0" w:type="dxa"/>
            <w:left w:w="108" w:type="dxa"/>
            <w:bottom w:w="0" w:type="dxa"/>
            <w:right w:w="108" w:type="dxa"/>
          </w:tblCellMar>
        </w:tblPrEx>
        <w:trPr>
          <w:trHeight w:val="635"/>
          <w:jc w:val="center"/>
        </w:trPr>
        <w:tc>
          <w:tcPr>
            <w:tcW w:w="2190" w:type="dxa"/>
            <w:shd w:val="clear" w:color="auto" w:fill="BDD6EE" w:themeFill="accent1" w:themeFillTint="66"/>
            <w:vAlign w:val="center"/>
          </w:tcPr>
          <w:p>
            <w:pPr>
              <w:jc w:val="center"/>
              <w:rPr>
                <w:rFonts w:hint="default"/>
                <w:color w:val="auto"/>
                <w:vertAlign w:val="baseline"/>
                <w:lang w:val="en-US" w:eastAsia="zh-CN"/>
              </w:rPr>
            </w:pPr>
            <w:r>
              <w:rPr>
                <w:rFonts w:hint="eastAsia"/>
                <w:color w:val="auto"/>
                <w:vertAlign w:val="baseline"/>
                <w:lang w:val="en-US" w:eastAsia="zh-CN"/>
              </w:rPr>
              <w:t>币种：人民币</w:t>
            </w:r>
          </w:p>
        </w:tc>
        <w:tc>
          <w:tcPr>
            <w:tcW w:w="26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本专利</w:t>
            </w:r>
          </w:p>
        </w:tc>
        <w:tc>
          <w:tcPr>
            <w:tcW w:w="331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领域平均</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当前估值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0.0</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21.44</w:t>
            </w:r>
            <w:r>
              <w:rPr>
                <w:rFonts w:hint="eastAsia"/>
                <w:color w:val="auto"/>
                <w:vertAlign w:val="baseline"/>
                <w:lang w:val="en-US" w:eastAsia="zh-CN"/>
              </w:rPr>
              <w:t>万元</w:t>
            </w:r>
          </w:p>
        </w:tc>
      </w:tr>
      <w:tr>
        <w:tblPrEx>
          <w:tblW w:w="8121" w:type="dxa"/>
          <w:jc w:val="center"/>
          <w:shd w:val="clear" w:color="auto" w:fill="FFFFFF" w:themeFill="background1"/>
          <w:tblLayout w:type="fixed"/>
          <w:tblCellMar>
            <w:top w:w="0" w:type="dxa"/>
            <w:left w:w="108" w:type="dxa"/>
            <w:bottom w:w="0" w:type="dxa"/>
            <w:right w:w="108" w:type="dxa"/>
          </w:tblCellMar>
        </w:tblPrEx>
        <w:trPr>
          <w:trHeight w:val="680"/>
          <w:jc w:val="center"/>
        </w:trPr>
        <w:tc>
          <w:tcPr>
            <w:tcW w:w="2190"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最高估值</w:t>
            </w:r>
          </w:p>
        </w:tc>
        <w:tc>
          <w:tcPr>
            <w:tcW w:w="2616"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val="0"/>
                <w:bCs w:val="0"/>
                <w:color w:val="auto"/>
                <w:kern w:val="0"/>
                <w:sz w:val="22"/>
                <w:szCs w:val="22"/>
                <w:lang w:val="en-US" w:eastAsia="zh-CN" w:bidi="ar"/>
              </w:rPr>
              <w:t>23.32</w:t>
            </w:r>
            <w:r>
              <w:rPr>
                <w:rFonts w:hint="eastAsia"/>
                <w:color w:val="auto"/>
                <w:vertAlign w:val="baseline"/>
                <w:lang w:val="en-US" w:eastAsia="zh-CN"/>
              </w:rPr>
              <w:t>万元</w:t>
            </w:r>
          </w:p>
        </w:tc>
        <w:tc>
          <w:tcPr>
            <w:tcW w:w="3315" w:type="dxa"/>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bookmarkStart w:id="10" w:name="_GoBack"/>
            <w:bookmarkEnd w:id="10"/>
            <w:r>
              <w:rPr>
                <w:rFonts w:ascii="宋体" w:eastAsia="宋体" w:hAnsi="宋体" w:cs="宋体" w:hint="eastAsia"/>
                <w:b w:val="0"/>
                <w:bCs w:val="0"/>
                <w:color w:val="auto"/>
                <w:kern w:val="0"/>
                <w:sz w:val="22"/>
                <w:szCs w:val="22"/>
                <w:lang w:val="en-US" w:eastAsia="zh-CN" w:bidi="ar"/>
              </w:rPr>
              <w:t>26.54万元</w:t>
            </w:r>
          </w:p>
        </w:tc>
      </w:tr>
    </w:tbl>
    <w:p>
      <w:pPr>
        <w:jc w:val="left"/>
        <w:rPr>
          <w:rFonts w:ascii="宋体" w:eastAsia="宋体" w:hAnsi="宋体" w:cs="宋体" w:hint="eastAsia"/>
          <w:b/>
          <w:bCs/>
          <w:color w:val="auto"/>
          <w:kern w:val="0"/>
          <w:sz w:val="18"/>
          <w:szCs w:val="18"/>
          <w:lang w:val="en-US" w:eastAsia="zh-CN" w:bidi="ar"/>
        </w:rPr>
      </w:pP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专利评分依据：</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从法律价值、经济价值、技术价值以及战略价值四个层面对企业专利进行分析，采用对以上四个方面具有影响的40余个专利指标参数，将参数进行归一化处理，根据各参数的重要程度，采用层次分析法（AHP）对专利进行评分，并对结果进行一致性校验。</w:t>
      </w:r>
    </w:p>
    <w:p>
      <w:pPr>
        <w:numPr>
          <w:ilvl w:val="0"/>
          <w:numId w:val="2"/>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AHP层次分析法是将定量分析与定性分析结合起来，用决策者的经验判断各衡量目标之间能否实现的标准之间的相对重要程度，并合理地给出每个决策方案的每个标准的权数，利用权数求出各方案的优劣次序，比较有效地应用于那些难以用定量方法解决的课题，已被广泛应用于专利价值评估中。</w:t>
      </w:r>
    </w:p>
    <w:p>
      <w:pPr>
        <w:jc w:val="left"/>
        <w:rPr>
          <w:rFonts w:ascii="宋体" w:eastAsia="宋体" w:hAnsi="宋体" w:cs="宋体" w:hint="eastAsia"/>
          <w:b/>
          <w:bCs/>
          <w:color w:val="auto"/>
          <w:kern w:val="0"/>
          <w:sz w:val="18"/>
          <w:szCs w:val="18"/>
          <w:lang w:val="en-US" w:eastAsia="zh-CN" w:bidi="ar"/>
        </w:rPr>
      </w:pPr>
      <w:r>
        <w:rPr>
          <w:rFonts w:ascii="宋体" w:eastAsia="宋体" w:hAnsi="宋体" w:cs="宋体" w:hint="eastAsia"/>
          <w:b/>
          <w:bCs/>
          <w:color w:val="auto"/>
          <w:kern w:val="0"/>
          <w:sz w:val="18"/>
          <w:szCs w:val="18"/>
          <w:lang w:val="en-US" w:eastAsia="zh-CN" w:bidi="ar"/>
        </w:rPr>
        <w:t>专利估值依据：</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根据本专利所属的技术领域获取该领域发生许可专利平均分，和国家知识产权局发布的《</w:t>
      </w:r>
      <w:hyperlink r:id="rId11" w:history="1">
        <w:r>
          <w:rPr>
            <w:rStyle w:val="Hyperlink"/>
            <w:rFonts w:ascii="宋体" w:eastAsia="宋体" w:hAnsi="宋体" w:cs="宋体" w:hint="eastAsia"/>
            <w:kern w:val="0"/>
            <w:sz w:val="18"/>
            <w:szCs w:val="18"/>
            <w:lang w:val="en-US" w:eastAsia="zh-CN" w:bidi="ar"/>
          </w:rPr>
          <w:t>“十三五”国民经济行业（门类）专利实施许可统计表</w:t>
        </w:r>
      </w:hyperlink>
      <w:r>
        <w:rPr>
          <w:rFonts w:ascii="宋体" w:eastAsia="宋体" w:hAnsi="宋体" w:cs="宋体" w:hint="eastAsia"/>
          <w:color w:val="auto"/>
          <w:kern w:val="0"/>
          <w:sz w:val="18"/>
          <w:szCs w:val="18"/>
          <w:lang w:val="en-US" w:eastAsia="zh-CN" w:bidi="ar"/>
        </w:rPr>
        <w:t>》中各领域专利平均年许可费对本专利进行估值。</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根据专利评分分布情况和获得评分的难易程度，以该领域许可专利平均分和平均许可年费为基准，预估本专利许可年费。</w:t>
      </w:r>
    </w:p>
    <w:p>
      <w:pPr>
        <w:numPr>
          <w:ilvl w:val="0"/>
          <w:numId w:val="3"/>
        </w:numPr>
        <w:jc w:val="left"/>
        <w:rPr>
          <w:rFonts w:ascii="宋体" w:eastAsia="宋体" w:hAnsi="宋体" w:cs="宋体" w:hint="eastAsia"/>
          <w:color w:val="auto"/>
          <w:kern w:val="0"/>
          <w:sz w:val="18"/>
          <w:szCs w:val="18"/>
          <w:lang w:val="en-US" w:eastAsia="zh-CN" w:bidi="ar"/>
        </w:rPr>
      </w:pPr>
      <w:r>
        <w:rPr>
          <w:rFonts w:ascii="宋体" w:eastAsia="宋体" w:hAnsi="宋体" w:cs="宋体" w:hint="eastAsia"/>
          <w:color w:val="auto"/>
          <w:kern w:val="0"/>
          <w:sz w:val="18"/>
          <w:szCs w:val="18"/>
          <w:lang w:val="en-US" w:eastAsia="zh-CN" w:bidi="ar"/>
        </w:rPr>
        <w:t>根据本专利最高有效期和剩余有效期以及预估的许可年费，对本专利进行估值。</w:t>
      </w:r>
    </w:p>
    <w:p>
      <w:pPr>
        <w:numPr>
          <w:ilvl w:val="0"/>
          <w:numId w:val="0"/>
        </w:numPr>
        <w:bidi w:val="0"/>
        <w:rPr>
          <w:rFonts w:ascii="宋体" w:eastAsia="宋体" w:hAnsi="宋体" w:cs="宋体" w:hint="default"/>
          <w:color w:val="auto"/>
          <w:kern w:val="0"/>
          <w:sz w:val="22"/>
          <w:szCs w:val="22"/>
          <w:lang w:val="en-US" w:eastAsia="zh-CN" w:bidi="ar"/>
        </w:rPr>
        <w:sectPr>
          <w:headerReference w:type="default" r:id="rId12"/>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start="1"/>
          <w:cols w:num="1" w:space="425"/>
          <w:docGrid w:type="lines" w:linePitch="312" w:charSpace="0"/>
        </w:sectPr>
      </w:pPr>
    </w:p>
    <w:p>
      <w:pPr>
        <w:pStyle w:val="Heading1"/>
        <w:numPr>
          <w:ilvl w:val="0"/>
          <w:numId w:val="4"/>
        </w:numPr>
        <w:bidi w:val="0"/>
        <w:rPr>
          <w:rFonts w:hint="default"/>
          <w:color w:val="auto"/>
          <w:lang w:val="en-US" w:eastAsia="zh-CN"/>
        </w:rPr>
      </w:pPr>
      <w:bookmarkStart w:id="11" w:name="_Toc97759724"/>
      <w:bookmarkStart w:id="12" w:name="_Toc28221"/>
      <w:bookmarkStart w:id="13" w:name="_Toc256000003"/>
      <w:r>
        <w:rPr>
          <w:rFonts w:hint="eastAsia"/>
          <w:color w:val="auto"/>
          <w:lang w:val="en-US" w:eastAsia="zh-CN"/>
        </w:rPr>
        <w:t>专利画像</w:t>
      </w:r>
      <w:bookmarkEnd w:id="13"/>
      <w:bookmarkEnd w:id="12"/>
      <w:bookmarkEnd w:id="11"/>
    </w:p>
    <w:p>
      <w:pPr>
        <w:pStyle w:val="Heading2"/>
        <w:numPr>
          <w:ilvl w:val="1"/>
          <w:numId w:val="4"/>
        </w:numPr>
        <w:bidi w:val="0"/>
        <w:rPr>
          <w:rFonts w:hint="default"/>
          <w:color w:val="auto"/>
          <w:lang w:val="en-US" w:eastAsia="zh-CN"/>
        </w:rPr>
      </w:pPr>
      <w:bookmarkStart w:id="14" w:name="_Toc97759725"/>
      <w:bookmarkStart w:id="15" w:name="_Toc7698"/>
      <w:bookmarkStart w:id="16" w:name="_Toc256000004"/>
      <w:r>
        <w:rPr>
          <w:rFonts w:hint="eastAsia"/>
          <w:color w:val="auto"/>
          <w:lang w:val="en-US" w:eastAsia="zh-CN"/>
        </w:rPr>
        <w:t>专利基本信息</w:t>
      </w:r>
      <w:bookmarkEnd w:id="16"/>
      <w:bookmarkEnd w:id="15"/>
      <w:bookmarkEnd w:id="14"/>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423"/>
        <w:gridCol w:w="3611"/>
        <w:gridCol w:w="1370"/>
        <w:gridCol w:w="206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名称</w:t>
            </w:r>
          </w:p>
        </w:tc>
        <w:tc>
          <w:tcPr>
            <w:tcW w:w="7046" w:type="dxa"/>
            <w:gridSpan w:val="3"/>
            <w:vAlign w:val="center"/>
          </w:tcPr>
          <w:p>
            <w:pPr>
              <w:bidi w:val="0"/>
              <w:rPr>
                <w:rFonts w:eastAsiaTheme="minorEastAsia" w:hint="default"/>
                <w:lang w:val="en-US" w:eastAsia="zh-CN"/>
              </w:rPr>
            </w:pPr>
            <w:r>
              <w:rPr>
                <w:rFonts w:hint="eastAsia"/>
                <w:lang w:val="en-US" w:eastAsia="zh-CN"/>
              </w:rPr>
              <w:t>一种肺部CT图像的血管增强方法及系统</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公开号</w:t>
            </w:r>
          </w:p>
        </w:tc>
        <w:tc>
          <w:tcPr>
            <w:tcW w:w="3611" w:type="dxa"/>
            <w:vAlign w:val="center"/>
          </w:tcPr>
          <w:p>
            <w:pPr>
              <w:bidi w:val="0"/>
              <w:rPr>
                <w:rFonts w:eastAsiaTheme="minorEastAsia" w:hint="default"/>
                <w:lang w:val="en-US" w:eastAsia="zh-CN"/>
              </w:rPr>
            </w:pPr>
            <w:r>
              <w:rPr>
                <w:rFonts w:hint="eastAsia"/>
                <w:lang w:val="en-US" w:eastAsia="zh-CN"/>
              </w:rPr>
              <w:t>CN104574319B</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公开日</w:t>
            </w:r>
          </w:p>
        </w:tc>
        <w:tc>
          <w:tcPr>
            <w:tcW w:w="2065" w:type="dxa"/>
            <w:vAlign w:val="center"/>
          </w:tcPr>
          <w:p>
            <w:pPr>
              <w:bidi w:val="0"/>
              <w:rPr>
                <w:rFonts w:eastAsiaTheme="minorEastAsia" w:hint="default"/>
                <w:lang w:val="en-US" w:eastAsia="zh-CN"/>
              </w:rPr>
            </w:pPr>
            <w:r>
              <w:rPr>
                <w:rFonts w:hint="eastAsia"/>
                <w:lang w:val="en-US" w:eastAsia="zh-CN"/>
              </w:rPr>
              <w:t>2017年10月13日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申请号</w:t>
            </w:r>
          </w:p>
        </w:tc>
        <w:tc>
          <w:tcPr>
            <w:tcW w:w="3611" w:type="dxa"/>
            <w:vAlign w:val="center"/>
          </w:tcPr>
          <w:p>
            <w:pPr>
              <w:bidi w:val="0"/>
              <w:rPr>
                <w:rFonts w:eastAsiaTheme="minorEastAsia" w:hint="default"/>
                <w:lang w:val="en-US" w:eastAsia="zh-CN"/>
              </w:rPr>
            </w:pPr>
            <w:r>
              <w:rPr>
                <w:rFonts w:hint="eastAsia"/>
                <w:lang w:val="en-US" w:eastAsia="zh-CN"/>
              </w:rPr>
              <w:t>CN201510033617.8</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申请日</w:t>
            </w:r>
          </w:p>
        </w:tc>
        <w:tc>
          <w:tcPr>
            <w:tcW w:w="2065" w:type="dxa"/>
            <w:vAlign w:val="center"/>
          </w:tcPr>
          <w:p>
            <w:pPr>
              <w:bidi w:val="0"/>
              <w:rPr>
                <w:rFonts w:eastAsiaTheme="minorEastAsia" w:hint="default"/>
                <w:lang w:val="en-US" w:eastAsia="zh-CN"/>
              </w:rPr>
            </w:pPr>
            <w:r>
              <w:rPr>
                <w:rFonts w:hint="eastAsia"/>
                <w:lang w:val="en-US" w:eastAsia="zh-CN"/>
              </w:rPr>
              <w:t>2015年01月22日</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优先权</w:t>
            </w:r>
          </w:p>
        </w:tc>
        <w:tc>
          <w:tcPr>
            <w:tcW w:w="3611" w:type="dxa"/>
            <w:vAlign w:val="center"/>
          </w:tcPr>
          <w:p>
            <w:pPr>
              <w:bidi w:val="0"/>
              <w:rPr>
                <w:rFonts w:eastAsiaTheme="minorEastAsia" w:hint="default"/>
                <w:lang w:val="en-US" w:eastAsia="zh-CN"/>
              </w:rPr>
            </w:pP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法律状态</w:t>
            </w:r>
          </w:p>
        </w:tc>
        <w:tc>
          <w:tcPr>
            <w:tcW w:w="2065" w:type="dxa"/>
            <w:vAlign w:val="center"/>
          </w:tcPr>
          <w:p>
            <w:pPr>
              <w:bidi w:val="0"/>
              <w:rPr>
                <w:rFonts w:eastAsiaTheme="minorEastAsia" w:hint="default"/>
                <w:lang w:val="en-US" w:eastAsia="zh-CN"/>
              </w:rPr>
            </w:pPr>
            <w:r>
              <w:rPr>
                <w:rFonts w:hint="eastAsia"/>
                <w:lang w:val="en-US" w:eastAsia="zh-CN"/>
              </w:rPr>
              <w:t>失效</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申请人</w:t>
            </w:r>
          </w:p>
        </w:tc>
        <w:tc>
          <w:tcPr>
            <w:tcW w:w="3611" w:type="dxa"/>
            <w:vAlign w:val="center"/>
          </w:tcPr>
          <w:p>
            <w:pPr>
              <w:bidi w:val="0"/>
              <w:rPr>
                <w:rFonts w:eastAsiaTheme="minorEastAsia" w:hint="default"/>
                <w:lang w:val="en-US" w:eastAsia="zh-CN"/>
              </w:rPr>
            </w:pPr>
            <w:r>
              <w:rPr>
                <w:rFonts w:hint="eastAsia"/>
                <w:lang w:val="en-US" w:eastAsia="zh-CN"/>
              </w:rPr>
              <w:t>深圳大学</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发明人</w:t>
            </w:r>
          </w:p>
        </w:tc>
        <w:tc>
          <w:tcPr>
            <w:tcW w:w="2065" w:type="dxa"/>
            <w:vAlign w:val="center"/>
          </w:tcPr>
          <w:p>
            <w:pPr>
              <w:bidi w:val="0"/>
              <w:rPr>
                <w:rFonts w:eastAsiaTheme="minorEastAsia" w:hint="default"/>
                <w:lang w:val="en-US" w:eastAsia="zh-CN"/>
              </w:rPr>
            </w:pPr>
            <w:r>
              <w:rPr>
                <w:rFonts w:hint="eastAsia"/>
                <w:lang w:val="en-US" w:eastAsia="zh-CN"/>
              </w:rPr>
              <w:t>杨烜,裴继红,史景利</w:t>
            </w:r>
          </w:p>
        </w:tc>
      </w:tr>
      <w:tr>
        <w:tblPrEx>
          <w:tblW w:w="0" w:type="auto"/>
          <w:tblInd w:w="0" w:type="dxa"/>
          <w:tblLayout w:type="fixed"/>
          <w:tblCellMar>
            <w:top w:w="0" w:type="dxa"/>
            <w:left w:w="108" w:type="dxa"/>
            <w:bottom w:w="0" w:type="dxa"/>
            <w:right w:w="108" w:type="dxa"/>
          </w:tblCellMar>
        </w:tblPrEx>
        <w:trPr>
          <w:trHeight w:val="263"/>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代理机构</w:t>
            </w:r>
          </w:p>
        </w:tc>
        <w:tc>
          <w:tcPr>
            <w:tcW w:w="3611" w:type="dxa"/>
            <w:vAlign w:val="center"/>
          </w:tcPr>
          <w:p>
            <w:pPr>
              <w:bidi w:val="0"/>
              <w:rPr>
                <w:rFonts w:hint="default"/>
                <w:lang w:val="en-US" w:eastAsia="zh-CN"/>
              </w:rPr>
            </w:pPr>
            <w:r>
              <w:rPr>
                <w:rFonts w:hint="eastAsia"/>
                <w:lang w:val="en-US" w:eastAsia="zh-CN"/>
              </w:rPr>
              <w:t>深圳市恒申知识产权事务所(普通合伙)</w:t>
            </w:r>
          </w:p>
        </w:tc>
        <w:tc>
          <w:tcPr>
            <w:tcW w:w="1370"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代理人</w:t>
            </w:r>
          </w:p>
        </w:tc>
        <w:tc>
          <w:tcPr>
            <w:tcW w:w="2065" w:type="dxa"/>
            <w:vAlign w:val="center"/>
          </w:tcPr>
          <w:p>
            <w:pPr>
              <w:bidi w:val="0"/>
              <w:rPr>
                <w:rFonts w:eastAsiaTheme="minorEastAsia" w:hint="default"/>
                <w:lang w:val="en-US" w:eastAsia="zh-CN"/>
              </w:rPr>
            </w:pPr>
            <w:r>
              <w:rPr>
                <w:rFonts w:hint="eastAsia"/>
                <w:lang w:val="en-US" w:eastAsia="zh-CN"/>
              </w:rPr>
              <w:t>陈健</w:t>
            </w:r>
          </w:p>
        </w:tc>
      </w:tr>
      <w:tr>
        <w:tblPrEx>
          <w:tblW w:w="0" w:type="auto"/>
          <w:tblInd w:w="0" w:type="dxa"/>
          <w:tblLayout w:type="fixed"/>
          <w:tblCellMar>
            <w:top w:w="0" w:type="dxa"/>
            <w:left w:w="108" w:type="dxa"/>
            <w:bottom w:w="0" w:type="dxa"/>
            <w:right w:w="108" w:type="dxa"/>
          </w:tblCellMar>
        </w:tblPrEx>
        <w:trPr>
          <w:trHeight w:val="521"/>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IPC分类</w:t>
            </w:r>
          </w:p>
        </w:tc>
        <w:tc>
          <w:tcPr>
            <w:tcW w:w="7046" w:type="dxa"/>
            <w:gridSpan w:val="3"/>
            <w:vAlign w:val="center"/>
          </w:tcPr>
          <w:p>
            <w:pPr>
              <w:bidi w:val="0"/>
              <w:rPr>
                <w:rFonts w:eastAsiaTheme="minorEastAsia" w:hint="default"/>
                <w:lang w:val="en-US" w:eastAsia="zh-CN"/>
              </w:rPr>
            </w:pPr>
            <w:r>
              <w:rPr>
                <w:rFonts w:hint="eastAsia"/>
                <w:lang w:val="en-US" w:eastAsia="zh-CN"/>
              </w:rPr>
              <w:t>G06T5/00 图像的增强或复原 [2024.01]</w:t>
            </w:r>
          </w:p>
        </w:tc>
      </w:tr>
      <w:tr>
        <w:tblPrEx>
          <w:tblW w:w="0" w:type="auto"/>
          <w:tblInd w:w="0" w:type="dxa"/>
          <w:tblLayout w:type="fixed"/>
          <w:tblCellMar>
            <w:top w:w="0" w:type="dxa"/>
            <w:left w:w="108" w:type="dxa"/>
            <w:bottom w:w="0" w:type="dxa"/>
            <w:right w:w="108" w:type="dxa"/>
          </w:tblCellMar>
        </w:tblPrEx>
        <w:trPr>
          <w:trHeight w:val="264"/>
        </w:trPr>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摘要</w:t>
            </w:r>
          </w:p>
        </w:tc>
        <w:tc>
          <w:tcPr>
            <w:tcW w:w="7046" w:type="dxa"/>
            <w:gridSpan w:val="3"/>
            <w:vAlign w:val="center"/>
          </w:tcPr>
          <w:p>
            <w:pPr>
              <w:bidi w:val="0"/>
              <w:rPr>
                <w:rFonts w:eastAsiaTheme="minorEastAsia" w:hint="default"/>
                <w:lang w:val="en-US" w:eastAsia="zh-CN"/>
              </w:rPr>
            </w:pPr>
            <w:r>
              <w:rPr>
                <w:rFonts w:hint="eastAsia"/>
                <w:lang w:val="en-US" w:eastAsia="zh-CN"/>
              </w:rPr>
              <w:t>本发明属于图像处理领域，提供了一种肺部CT图像的血管增强方法及系统。该方法及系统是对Vessel Enhancing Diffusion(VED)算法进行了改进，在估计出每一点属于管状结构的可能性之后，通过棒张量投票，对特征点和特征向量进行了重构，之后再利用扩散函数进行图像增强。相对于VED算法，由于利用了邻域的张量方向，对血管壁的血管走向进行了棒张量投票，从而纠正了血管壁周围的张量方向并重构了新的张量方向，利用重构的张量方向可以较好地减少血管强度沿血管切面的扩散，同时增强沿血管方向的扩散，达到抑制噪声，增强血管特征的效果，解决了VED算法存在的管状结构边缘特征方向杂乱引起的增强效果失真的问题。</w:t>
            </w:r>
          </w:p>
        </w:tc>
      </w:tr>
      <w:tr>
        <w:tblPrEx>
          <w:tblW w:w="0" w:type="auto"/>
          <w:tblInd w:w="0" w:type="dxa"/>
          <w:tblLayout w:type="fixed"/>
          <w:tblCellMar>
            <w:top w:w="0" w:type="dxa"/>
            <w:left w:w="108" w:type="dxa"/>
            <w:bottom w:w="0" w:type="dxa"/>
            <w:right w:w="108" w:type="dxa"/>
          </w:tblCellMar>
        </w:tblPrEx>
        <w:tc>
          <w:tcPr>
            <w:tcW w:w="1423" w:type="dxa"/>
            <w:shd w:val="clear" w:color="auto" w:fill="BDD6EE" w:themeFill="accent1" w:themeFillTint="66"/>
            <w:vAlign w:val="center"/>
          </w:tcPr>
          <w:p>
            <w:pPr>
              <w:bidi w:val="0"/>
              <w:jc w:val="center"/>
              <w:rPr>
                <w:rFonts w:hint="eastAsia"/>
                <w:b w:val="0"/>
                <w:bCs w:val="0"/>
                <w:lang w:val="en-US" w:eastAsia="zh-CN"/>
              </w:rPr>
            </w:pPr>
            <w:r>
              <w:rPr>
                <w:rFonts w:hint="eastAsia"/>
                <w:b w:val="0"/>
                <w:bCs w:val="0"/>
                <w:lang w:val="en-US" w:eastAsia="zh-CN"/>
              </w:rPr>
              <w:t>首图</w:t>
            </w:r>
          </w:p>
        </w:tc>
        <w:tc>
          <w:tcPr>
            <w:tcW w:w="7046" w:type="dxa"/>
            <w:gridSpan w:val="3"/>
          </w:tcPr>
          <w:p>
            <w:pPr>
              <w:bidi w:val="0"/>
            </w:pPr>
          </w:p>
          <w:p>
            <w:pPr>
              <w:jc w:val="center"/>
            </w:pPr>
            <w:r>
              <w:drawing>
                <wp:inline distT="0" distB="0" distL="0" distR="0">
                  <wp:extent cx="2222500" cy="1473518"/>
                  <wp:effectExtent l="0" t="0" r="0" b="0"/>
                  <wp:docPr id="8406759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75905" name=""/>
                          <pic:cNvPicPr/>
                        </pic:nvPicPr>
                        <pic:blipFill>
                          <a:blip xmlns:r="http://schemas.openxmlformats.org/officeDocument/2006/relationships" r:embed="rId13"/>
                          <a:stretch>
                            <a:fillRect/>
                          </a:stretch>
                        </pic:blipFill>
                        <pic:spPr>
                          <a:xfrm>
                            <a:off x="0" y="0"/>
                            <a:ext cx="2222500" cy="1473518"/>
                          </a:xfrm>
                          <a:prstGeom prst="rect">
                            <a:avLst/>
                          </a:prstGeom>
                        </pic:spPr>
                      </pic:pic>
                    </a:graphicData>
                  </a:graphic>
                </wp:inline>
              </w:drawing>
            </w:r>
          </w:p>
        </w:tc>
      </w:tr>
    </w:tbl>
    <w:p>
      <w:pPr>
        <w:tabs>
          <w:tab w:val="center" w:pos="4153"/>
        </w:tabs>
        <w:rPr>
          <w:rFonts w:hint="eastAsia"/>
          <w:color w:val="auto"/>
          <w:lang w:val="en-US" w:eastAsia="zh-CN"/>
        </w:rPr>
      </w:pPr>
      <w:bookmarkStart w:id="17" w:name="_Toc28841"/>
    </w:p>
    <w:p>
      <w:pPr>
        <w:rPr>
          <w:rFonts w:hint="eastAsia"/>
          <w:color w:val="auto"/>
          <w:lang w:val="en-US" w:eastAsia="zh-CN"/>
        </w:rPr>
      </w:pPr>
      <w:r>
        <w:rPr>
          <w:rFonts w:hint="eastAsia"/>
          <w:color w:val="auto"/>
          <w:lang w:val="en-US" w:eastAsia="zh-CN"/>
        </w:rPr>
        <w:br w:type="page"/>
      </w:r>
    </w:p>
    <w:p>
      <w:pPr>
        <w:pStyle w:val="Heading2"/>
        <w:numPr>
          <w:ilvl w:val="1"/>
          <w:numId w:val="4"/>
        </w:numPr>
        <w:bidi w:val="0"/>
        <w:rPr>
          <w:rFonts w:hint="eastAsia"/>
          <w:color w:val="auto"/>
          <w:lang w:val="en-US" w:eastAsia="zh-CN"/>
        </w:rPr>
      </w:pPr>
      <w:bookmarkStart w:id="18" w:name="_Toc97759726"/>
      <w:bookmarkStart w:id="19" w:name="_Toc256000005"/>
      <w:r>
        <w:rPr>
          <w:rFonts w:hint="eastAsia"/>
          <w:color w:val="auto"/>
          <w:lang w:val="en-US" w:eastAsia="zh-CN"/>
        </w:rPr>
        <w:t>专利事务公告信息</w:t>
      </w:r>
      <w:bookmarkEnd w:id="19"/>
      <w:bookmarkEnd w:id="17"/>
      <w:bookmarkEnd w:id="18"/>
    </w:p>
    <w:p>
      <w:pPr>
        <w:rPr>
          <w:rFonts w:hint="default"/>
          <w:color w:val="auto"/>
          <w:lang w:val="en-US" w:eastAsia="zh-CN"/>
        </w:rPr>
      </w:pPr>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976"/>
        <w:gridCol w:w="2795"/>
        <w:gridCol w:w="3751"/>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29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日期</w:t>
            </w:r>
          </w:p>
        </w:tc>
        <w:tc>
          <w:tcPr>
            <w:tcW w:w="2940"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法律信息</w:t>
            </w:r>
          </w:p>
        </w:tc>
        <w:tc>
          <w:tcPr>
            <w:tcW w:w="427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具体描述</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20150429</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公开</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发明专利申请公布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20150527</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实质审查的生效 IPC(主分类):G06T   5/00 申请日:20150122</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20171013</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授权</w:t>
            </w:r>
          </w:p>
        </w:tc>
      </w:tr>
      <w:tr>
        <w:tblPrEx>
          <w:tblW w:w="0" w:type="auto"/>
          <w:tblInd w:w="0" w:type="dxa"/>
          <w:shd w:val="clear" w:color="auto" w:fill="5B9BD5" w:themeFill="accent1"/>
          <w:tblCellMar>
            <w:top w:w="0" w:type="dxa"/>
            <w:left w:w="108" w:type="dxa"/>
            <w:bottom w:w="0" w:type="dxa"/>
            <w:right w:w="108" w:type="dxa"/>
          </w:tblCellMar>
        </w:tblPrEx>
        <w:trPr>
          <w:trHeight w:val="838"/>
        </w:trPr>
        <w:tc>
          <w:tcPr>
            <w:tcW w:w="12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20240202</w:t>
            </w:r>
          </w:p>
        </w:tc>
        <w:tc>
          <w:tcPr>
            <w:tcW w:w="2940"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w:t>
            </w:r>
          </w:p>
        </w:tc>
        <w:tc>
          <w:tcPr>
            <w:tcW w:w="427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未缴年费专利权终止 IPC(主分类):G06T   5/00 申请日:20150122 授权公告日:20171013</w:t>
            </w:r>
          </w:p>
        </w:tc>
      </w:tr>
    </w:tbl>
    <w:p>
      <w:pPr>
        <w:pStyle w:val="Heading2"/>
        <w:numPr>
          <w:ilvl w:val="1"/>
          <w:numId w:val="4"/>
        </w:numPr>
        <w:bidi w:val="0"/>
        <w:rPr>
          <w:rFonts w:hint="eastAsia"/>
          <w:color w:val="auto"/>
          <w:lang w:val="en-US" w:eastAsia="zh-CN"/>
        </w:rPr>
      </w:pPr>
      <w:bookmarkStart w:id="20" w:name="_Toc97759727"/>
      <w:bookmarkStart w:id="21" w:name="_Toc25619"/>
      <w:bookmarkStart w:id="22" w:name="_Toc256000006"/>
      <w:r>
        <w:rPr>
          <w:rFonts w:hint="eastAsia"/>
          <w:color w:val="auto"/>
          <w:lang w:val="en-US" w:eastAsia="zh-CN"/>
        </w:rPr>
        <w:t>专利引证信息</w:t>
      </w:r>
      <w:bookmarkEnd w:id="22"/>
      <w:bookmarkEnd w:id="21"/>
      <w:bookmarkEnd w:id="20"/>
    </w:p>
    <w:p>
      <w:pPr>
        <w:pStyle w:val="Heading3"/>
        <w:numPr>
          <w:ilvl w:val="2"/>
          <w:numId w:val="4"/>
        </w:numPr>
        <w:bidi w:val="0"/>
        <w:rPr>
          <w:rFonts w:hint="default"/>
          <w:color w:val="auto"/>
          <w:lang w:val="en-US" w:eastAsia="zh-CN"/>
        </w:rPr>
      </w:pPr>
      <w:bookmarkStart w:id="23" w:name="_Toc97759728"/>
      <w:bookmarkStart w:id="24" w:name="_Toc21493"/>
      <w:bookmarkStart w:id="25" w:name="_Toc256000007"/>
      <w:r>
        <w:rPr>
          <w:rFonts w:hint="eastAsia"/>
          <w:color w:val="auto"/>
          <w:lang w:val="en-US" w:eastAsia="zh-CN"/>
        </w:rPr>
        <w:t>简单同族引证专利</w:t>
      </w:r>
      <w:bookmarkEnd w:id="25"/>
      <w:bookmarkEnd w:id="24"/>
      <w:bookmarkEnd w:id="23"/>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3282"/>
        <w:gridCol w:w="1426"/>
        <w:gridCol w:w="1516"/>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引证专利公开号</w:t>
            </w:r>
          </w:p>
        </w:tc>
        <w:tc>
          <w:tcPr>
            <w:tcW w:w="32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1425"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151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3"/>
        <w:bidi w:val="0"/>
        <w:rPr>
          <w:rFonts w:hint="default"/>
          <w:color w:val="auto"/>
          <w:lang w:val="en-US" w:eastAsia="zh-CN"/>
        </w:rPr>
      </w:pPr>
      <w:bookmarkStart w:id="26" w:name="_Toc97759729"/>
      <w:bookmarkStart w:id="27" w:name="_Toc17112"/>
      <w:bookmarkStart w:id="28" w:name="_Toc256000008"/>
      <w:r>
        <w:rPr>
          <w:rFonts w:hint="eastAsia"/>
          <w:color w:val="auto"/>
          <w:lang w:val="en-US" w:eastAsia="zh-CN"/>
        </w:rPr>
        <w:t>2.4.2 简单同族引证</w:t>
      </w:r>
      <w:bookmarkEnd w:id="28"/>
      <w:bookmarkEnd w:id="27"/>
      <w:bookmarkEnd w:id="26"/>
    </w:p>
    <w:tbl>
      <w:tblPr>
        <w:tblStyle w:val="TableGrid"/>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94"/>
        <w:gridCol w:w="2083"/>
        <w:gridCol w:w="2083"/>
        <w:gridCol w:w="2057"/>
      </w:tblGrid>
      <w:tr>
        <w:tblPrEx>
          <w:tblW w:w="0" w:type="auto"/>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194"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施引专利公开号</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专利名称</w:t>
            </w:r>
          </w:p>
        </w:tc>
        <w:tc>
          <w:tcPr>
            <w:tcW w:w="20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w:t>
            </w:r>
          </w:p>
        </w:tc>
        <w:tc>
          <w:tcPr>
            <w:tcW w:w="205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公开日</w:t>
            </w:r>
          </w:p>
        </w:tc>
      </w:tr>
    </w:tbl>
    <w:p>
      <w:pPr>
        <w:pStyle w:val="Heading2"/>
        <w:numPr>
          <w:ilvl w:val="1"/>
          <w:numId w:val="4"/>
        </w:numPr>
        <w:bidi w:val="0"/>
        <w:rPr>
          <w:rFonts w:hint="eastAsia"/>
          <w:color w:val="auto"/>
          <w:lang w:val="en-US" w:eastAsia="zh-CN"/>
        </w:rPr>
      </w:pPr>
      <w:bookmarkStart w:id="29" w:name="_Toc97759730"/>
      <w:bookmarkStart w:id="30" w:name="_Toc9159"/>
      <w:bookmarkStart w:id="31" w:name="_Toc256000009"/>
      <w:r>
        <w:rPr>
          <w:rFonts w:hint="eastAsia"/>
          <w:color w:val="auto"/>
          <w:lang w:val="en-US" w:eastAsia="zh-CN"/>
        </w:rPr>
        <w:t>专利运营信息</w:t>
      </w:r>
      <w:bookmarkEnd w:id="31"/>
      <w:bookmarkEnd w:id="30"/>
      <w:bookmarkEnd w:id="29"/>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591"/>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许可次数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质押次数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保全次数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转让次数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获奖情况</w:t>
            </w:r>
          </w:p>
        </w:tc>
        <w:tc>
          <w:tcPr>
            <w:tcW w:w="2591" w:type="dxa"/>
            <w:shd w:val="clear" w:color="auto" w:fill="FFFFFF" w:themeFill="background1"/>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p>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32" w:name="_Toc97759731"/>
      <w:bookmarkStart w:id="33" w:name="_Toc31910"/>
      <w:bookmarkStart w:id="34" w:name="_Toc256000010"/>
      <w:r>
        <w:rPr>
          <w:rFonts w:hint="eastAsia"/>
          <w:color w:val="auto"/>
          <w:lang w:val="en-US" w:eastAsia="zh-CN"/>
        </w:rPr>
        <w:t>专利复审/无效/诉讼信息</w:t>
      </w:r>
      <w:bookmarkEnd w:id="34"/>
      <w:bookmarkEnd w:id="33"/>
      <w:bookmarkEnd w:id="32"/>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86"/>
        <w:gridCol w:w="2636"/>
        <w:gridCol w:w="33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23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59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c>
          <w:tcPr>
            <w:tcW w:w="33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相关人</w:t>
            </w: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复审次数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无效次数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诉讼次数</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2386"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赔偿金额(￥)</w:t>
            </w:r>
          </w:p>
        </w:tc>
        <w:tc>
          <w:tcPr>
            <w:tcW w:w="259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c>
          <w:tcPr>
            <w:tcW w:w="33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bookmarkEnd w:id="0"/>
    </w:tbl>
    <w:p>
      <w:pPr>
        <w:pStyle w:val="Heading1"/>
        <w:numPr>
          <w:ilvl w:val="0"/>
          <w:numId w:val="4"/>
        </w:numPr>
        <w:bidi w:val="0"/>
        <w:rPr>
          <w:rFonts w:hint="default"/>
          <w:color w:val="auto"/>
          <w:lang w:val="en-US" w:eastAsia="zh-CN"/>
        </w:rPr>
      </w:pPr>
      <w:bookmarkStart w:id="35" w:name="_Toc97759732"/>
      <w:bookmarkStart w:id="36" w:name="_Toc12722"/>
      <w:bookmarkStart w:id="37" w:name="_Toc256000011"/>
      <w:r>
        <w:rPr>
          <w:rFonts w:hint="eastAsia"/>
          <w:color w:val="auto"/>
          <w:lang w:val="en-US" w:eastAsia="zh-CN"/>
        </w:rPr>
        <w:t>专利评分详情</w:t>
      </w:r>
      <w:bookmarkEnd w:id="37"/>
      <w:bookmarkEnd w:id="36"/>
      <w:bookmarkEnd w:id="35"/>
    </w:p>
    <w:p>
      <w:pPr>
        <w:pStyle w:val="Heading2"/>
        <w:numPr>
          <w:ilvl w:val="1"/>
          <w:numId w:val="4"/>
        </w:numPr>
        <w:bidi w:val="0"/>
        <w:rPr>
          <w:rFonts w:hint="eastAsia"/>
          <w:color w:val="auto"/>
          <w:lang w:val="en-US" w:eastAsia="zh-CN"/>
        </w:rPr>
      </w:pPr>
      <w:bookmarkStart w:id="38" w:name="_Toc97759733"/>
      <w:bookmarkStart w:id="39" w:name="_Toc31618"/>
      <w:bookmarkStart w:id="40" w:name="_Toc256000012"/>
      <w:r>
        <w:rPr>
          <w:rFonts w:hint="eastAsia"/>
          <w:color w:val="auto"/>
          <w:lang w:val="en-US" w:eastAsia="zh-CN"/>
        </w:rPr>
        <w:t>法律价值评分详情</w:t>
      </w:r>
      <w:bookmarkEnd w:id="40"/>
      <w:bookmarkEnd w:id="39"/>
      <w:bookmarkEnd w:id="38"/>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04"/>
        <w:gridCol w:w="3340"/>
        <w:gridCol w:w="285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662"/>
        </w:trPr>
        <w:tc>
          <w:tcPr>
            <w:tcW w:w="2311"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5"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7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27"/>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地域范围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hint="eastAsia"/>
                <w:b w:val="0"/>
                <w:bCs w:val="0"/>
                <w:color w:val="auto"/>
                <w:kern w:val="0"/>
                <w:sz w:val="22"/>
                <w:szCs w:val="22"/>
                <w:lang w:val="en-US" w:eastAsia="zh-CN" w:bidi="ar"/>
              </w:rPr>
              <w:t>简单同族国家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92"/>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简单同族国家数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扩展同族国家</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扩展</w:t>
            </w:r>
            <w:r>
              <w:rPr>
                <w:rFonts w:ascii="宋体" w:eastAsia="宋体" w:hAnsi="宋体" w:cs="宋体"/>
                <w:b w:val="0"/>
                <w:bCs w:val="0"/>
                <w:color w:val="auto"/>
                <w:kern w:val="0"/>
                <w:sz w:val="22"/>
                <w:szCs w:val="22"/>
                <w:lang w:val="en-US" w:eastAsia="zh-CN" w:bidi="ar"/>
              </w:rPr>
              <w:t>同族国家数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bCs/>
                <w:i w:val="0"/>
                <w:iCs w:val="0"/>
                <w:color w:val="auto"/>
                <w:sz w:val="22"/>
                <w:szCs w:val="22"/>
                <w:u w:val="none"/>
                <w:lang w:val="en-US" w:eastAsia="zh-CN"/>
              </w:rPr>
              <w:t>权利范围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申请时权利要求个数</w:t>
            </w:r>
          </w:p>
        </w:tc>
        <w:tc>
          <w:tcPr>
            <w:tcW w:w="2473" w:type="dxa"/>
            <w:shd w:val="clear" w:color="auto" w:fill="FFFFFF" w:themeFill="background1"/>
            <w:vAlign w:val="center"/>
          </w:tcPr>
          <w:p>
            <w:pPr>
              <w:jc w:val="center"/>
              <w:rPr>
                <w:rFonts w:eastAsiaTheme="minorEastAsia"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10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授权时权利要求个数</w:t>
            </w:r>
          </w:p>
        </w:tc>
        <w:tc>
          <w:tcPr>
            <w:tcW w:w="2473"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7</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hint="default"/>
                <w:color w:val="auto"/>
                <w:vertAlign w:val="baseli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eastAsiaTheme="minorEastAsia" w:hint="default"/>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独立权利要求数量</w:t>
            </w:r>
          </w:p>
        </w:tc>
        <w:tc>
          <w:tcPr>
            <w:tcW w:w="2473" w:type="dxa"/>
            <w:shd w:val="clear" w:color="auto" w:fill="FFFFFF" w:themeFill="background1"/>
            <w:vAlign w:val="center"/>
          </w:tcPr>
          <w:p>
            <w:pPr>
              <w:jc w:val="center"/>
              <w:rPr>
                <w:rFonts w:asciiTheme="minorHAnsi" w:eastAsiaTheme="minorEastAsia" w:hAnsiTheme="minorHAnsi" w:cstheme="minorBidi" w:hint="default"/>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2</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申请时首项权利要求字数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225</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授权时首项权利要求字数</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483</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hint="eastAsia"/>
                <w:b w:val="0"/>
                <w:bCs w:val="0"/>
                <w:color w:val="auto"/>
                <w:vertAlign w:val="baseline"/>
                <w:lang w:val="en-US" w:eastAsia="zh-CN"/>
              </w:rPr>
            </w:pPr>
            <w:r>
              <w:rPr>
                <w:rFonts w:ascii="宋体" w:eastAsia="宋体" w:hAnsi="宋体" w:cs="宋体"/>
                <w:b w:val="0"/>
                <w:bCs w:val="0"/>
                <w:color w:val="auto"/>
                <w:kern w:val="0"/>
                <w:sz w:val="22"/>
                <w:szCs w:val="22"/>
                <w:lang w:val="en-US" w:eastAsia="zh-CN" w:bidi="ar"/>
              </w:rPr>
              <w:t>权利要求类型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产品方法</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时间范围</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专利类型</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发明</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剩余有效期</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专利年龄</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hint="eastAsia"/>
                <w:b w:val="0"/>
                <w:bCs w:val="0"/>
                <w:color w:val="auto"/>
                <w:kern w:val="0"/>
                <w:sz w:val="22"/>
                <w:szCs w:val="22"/>
                <w:lang w:val="en-US" w:eastAsia="zh-CN" w:bidi="ar"/>
              </w:rPr>
              <w:t>已付费时长</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3298</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val="restart"/>
            <w:shd w:val="clear" w:color="auto" w:fill="FFFFFF" w:themeFill="background1"/>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法律稳定性</w:t>
            </w: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是否授权</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Theme="minorHAnsi" w:eastAsiaTheme="minorEastAsia" w:hAnsiTheme="minorHAnsi" w:cstheme="minorBidi" w:hint="eastAsia"/>
                <w:b w:val="0"/>
                <w:bCs w:val="0"/>
                <w:color w:val="auto"/>
                <w:kern w:val="2"/>
                <w:sz w:val="21"/>
                <w:szCs w:val="24"/>
                <w:vertAlign w:val="baseline"/>
                <w:lang w:val="en-US" w:eastAsia="zh-CN" w:bidi="ar-SA"/>
              </w:rPr>
            </w:pPr>
            <w:r>
              <w:rPr>
                <w:rFonts w:ascii="宋体" w:eastAsia="宋体" w:hAnsi="宋体" w:cs="宋体"/>
                <w:b w:val="0"/>
                <w:bCs w:val="0"/>
                <w:color w:val="auto"/>
                <w:kern w:val="0"/>
                <w:sz w:val="22"/>
                <w:szCs w:val="22"/>
                <w:lang w:val="en-US" w:eastAsia="zh-CN" w:bidi="ar"/>
              </w:rPr>
              <w:t>简单同族</w:t>
            </w:r>
            <w:r>
              <w:rPr>
                <w:rFonts w:ascii="宋体" w:eastAsia="宋体" w:hAnsi="宋体" w:cs="宋体" w:hint="eastAsia"/>
                <w:b w:val="0"/>
                <w:bCs w:val="0"/>
                <w:color w:val="auto"/>
                <w:kern w:val="0"/>
                <w:sz w:val="22"/>
                <w:szCs w:val="22"/>
                <w:lang w:val="en-US" w:eastAsia="zh-CN" w:bidi="ar"/>
              </w:rPr>
              <w:t>授权国别</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CN</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是否经历无效</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88"/>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是否经历复审</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696"/>
        </w:trPr>
        <w:tc>
          <w:tcPr>
            <w:tcW w:w="2311"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15"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是否有代理机构/代理人</w:t>
            </w:r>
          </w:p>
        </w:tc>
        <w:tc>
          <w:tcPr>
            <w:tcW w:w="247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是</w:t>
            </w:r>
          </w:p>
        </w:tc>
      </w:tr>
    </w:tbl>
    <w:p>
      <w:pPr>
        <w:pStyle w:val="Heading2"/>
        <w:numPr>
          <w:ilvl w:val="1"/>
          <w:numId w:val="4"/>
        </w:numPr>
        <w:bidi w:val="0"/>
        <w:rPr>
          <w:rFonts w:hint="eastAsia"/>
          <w:color w:val="auto"/>
          <w:lang w:val="en-US" w:eastAsia="zh-CN"/>
        </w:rPr>
      </w:pPr>
      <w:bookmarkStart w:id="41" w:name="_Toc97759734"/>
      <w:bookmarkStart w:id="42" w:name="_Toc11110"/>
      <w:bookmarkStart w:id="43" w:name="_Toc256000013"/>
      <w:r>
        <w:rPr>
          <w:rFonts w:hint="eastAsia"/>
          <w:color w:val="auto"/>
          <w:lang w:val="en-US" w:eastAsia="zh-CN"/>
        </w:rPr>
        <w:t>技术价值评分详情</w:t>
      </w:r>
      <w:bookmarkEnd w:id="43"/>
      <w:bookmarkEnd w:id="42"/>
      <w:bookmarkEnd w:id="41"/>
    </w:p>
    <w:p>
      <w:pPr>
        <w:rPr>
          <w:rFonts w:hint="eastAsia"/>
          <w:color w:val="auto"/>
          <w:lang w:val="en-US" w:eastAsia="zh-CN"/>
        </w:rPr>
      </w:pPr>
    </w:p>
    <w:tbl>
      <w:tblPr>
        <w:tblStyle w:val="TableGrid"/>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162"/>
        <w:gridCol w:w="3221"/>
        <w:gridCol w:w="3076"/>
      </w:tblGrid>
      <w:tr>
        <w:tblPrEx>
          <w:tblW w:w="8459" w:type="dxa"/>
          <w:tblInd w:w="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12"/>
        </w:trPr>
        <w:tc>
          <w:tcPr>
            <w:tcW w:w="239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83"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8459" w:type="dxa"/>
          <w:tblInd w:w="0" w:type="dxa"/>
          <w:shd w:val="clear" w:color="auto" w:fill="5B9BD5" w:themeFill="accent1"/>
          <w:tblCellMar>
            <w:top w:w="0" w:type="dxa"/>
            <w:left w:w="108" w:type="dxa"/>
            <w:bottom w:w="0" w:type="dxa"/>
            <w:right w:w="108" w:type="dxa"/>
          </w:tblCellMar>
        </w:tblPrEx>
        <w:trPr>
          <w:trHeight w:val="701"/>
        </w:trPr>
        <w:tc>
          <w:tcPr>
            <w:tcW w:w="2394" w:type="dxa"/>
            <w:vMerge w:val="restart"/>
            <w:shd w:val="clear" w:color="auto" w:fill="FFFFFF" w:themeFill="background1"/>
            <w:vAlign w:val="center"/>
          </w:tcPr>
          <w:p>
            <w:pPr>
              <w:tabs>
                <w:tab w:val="left" w:pos="505"/>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技术独立性</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8</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引文国别个数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技术先进程度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是否有PCT同族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简单家族施引专利申请号数量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简单家族施引专利国别个数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发明(设计)人个数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技术应用广度</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附图个数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6</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文献页数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13</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IPC分类号个数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IPC小类个数</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val="restart"/>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技术应用前景</w:t>
            </w: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申请人类型</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大专院校</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申请人数量</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1</w:t>
            </w:r>
          </w:p>
        </w:tc>
      </w:tr>
      <w:tr>
        <w:tblPrEx>
          <w:tblW w:w="8459" w:type="dxa"/>
          <w:tblInd w:w="0" w:type="dxa"/>
          <w:shd w:val="clear" w:color="auto" w:fill="5B9BD5" w:themeFill="accent1"/>
          <w:tblCellMar>
            <w:top w:w="0" w:type="dxa"/>
            <w:left w:w="108" w:type="dxa"/>
            <w:bottom w:w="0" w:type="dxa"/>
            <w:right w:w="108" w:type="dxa"/>
          </w:tblCellMar>
        </w:tblPrEx>
        <w:trPr>
          <w:trHeight w:val="740"/>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战略性新兴产业主分类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w:t>
            </w:r>
          </w:p>
        </w:tc>
      </w:tr>
      <w:tr>
        <w:tblPrEx>
          <w:tblW w:w="8459" w:type="dxa"/>
          <w:tblInd w:w="0" w:type="dxa"/>
          <w:shd w:val="clear" w:color="auto" w:fill="5B9BD5" w:themeFill="accent1"/>
          <w:tblCellMar>
            <w:top w:w="0" w:type="dxa"/>
            <w:left w:w="108" w:type="dxa"/>
            <w:bottom w:w="0" w:type="dxa"/>
            <w:right w:w="108" w:type="dxa"/>
          </w:tblCellMar>
        </w:tblPrEx>
        <w:trPr>
          <w:trHeight w:val="756"/>
        </w:trPr>
        <w:tc>
          <w:tcPr>
            <w:tcW w:w="2394" w:type="dxa"/>
            <w:vMerge/>
            <w:shd w:val="clear" w:color="auto" w:fill="FFFFFF" w:themeFill="background1"/>
            <w:vAlign w:val="center"/>
          </w:tcPr>
          <w:p>
            <w:pPr>
              <w:jc w:val="center"/>
              <w:rPr>
                <w:rFonts w:ascii="宋体" w:eastAsia="宋体" w:hAnsi="宋体" w:cs="宋体" w:hint="eastAsia"/>
                <w:b/>
                <w:bCs/>
                <w:i w:val="0"/>
                <w:iCs w:val="0"/>
                <w:color w:val="auto"/>
                <w:sz w:val="22"/>
                <w:szCs w:val="22"/>
                <w:u w:val="none"/>
                <w:lang w:val="en-US" w:eastAsia="zh-CN"/>
              </w:rPr>
            </w:pPr>
          </w:p>
        </w:tc>
        <w:tc>
          <w:tcPr>
            <w:tcW w:w="3582"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战略性新兴产业分类</w:t>
            </w:r>
          </w:p>
        </w:tc>
        <w:tc>
          <w:tcPr>
            <w:tcW w:w="2483"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H202</w:t>
            </w:r>
          </w:p>
        </w:tc>
      </w:tr>
    </w:tbl>
    <w:p>
      <w:pPr>
        <w:rPr>
          <w:rFonts w:hint="default"/>
          <w:color w:val="auto"/>
          <w:lang w:val="en-US" w:eastAsia="zh-CN"/>
        </w:rPr>
      </w:pPr>
    </w:p>
    <w:p>
      <w:pPr>
        <w:pStyle w:val="Heading2"/>
        <w:numPr>
          <w:ilvl w:val="1"/>
          <w:numId w:val="4"/>
        </w:numPr>
        <w:bidi w:val="0"/>
        <w:rPr>
          <w:rFonts w:hint="eastAsia"/>
          <w:color w:val="auto"/>
          <w:lang w:val="en-US" w:eastAsia="zh-CN"/>
        </w:rPr>
      </w:pPr>
      <w:bookmarkStart w:id="44" w:name="_Toc97759735"/>
      <w:bookmarkStart w:id="45" w:name="_Toc23344"/>
      <w:bookmarkStart w:id="46" w:name="_Toc256000014"/>
      <w:r>
        <w:rPr>
          <w:rFonts w:hint="eastAsia"/>
          <w:color w:val="auto"/>
          <w:lang w:val="en-US" w:eastAsia="zh-CN"/>
        </w:rPr>
        <w:t>市场价值评分详情</w:t>
      </w:r>
      <w:bookmarkEnd w:id="46"/>
      <w:bookmarkEnd w:id="45"/>
      <w:bookmarkEnd w:id="44"/>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331"/>
        <w:gridCol w:w="3561"/>
        <w:gridCol w:w="2427"/>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798"/>
        </w:trPr>
        <w:tc>
          <w:tcPr>
            <w:tcW w:w="2331"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427"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786"/>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专利实施情况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标准专利</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海关备案</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专利许可情况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许可次数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专利质押情况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质押次数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专利转让情况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申请权转让次数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28"/>
        </w:trPr>
        <w:tc>
          <w:tcPr>
            <w:tcW w:w="2331"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专利权转让次数</w:t>
            </w:r>
          </w:p>
        </w:tc>
        <w:tc>
          <w:tcPr>
            <w:tcW w:w="2427"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7"/>
        </w:trPr>
        <w:tc>
          <w:tcPr>
            <w:tcW w:w="2331"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判决情况</w:t>
            </w:r>
          </w:p>
        </w:tc>
        <w:tc>
          <w:tcPr>
            <w:tcW w:w="3561"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b w:val="0"/>
                <w:bCs w:val="0"/>
                <w:color w:val="auto"/>
                <w:kern w:val="0"/>
                <w:sz w:val="22"/>
                <w:szCs w:val="22"/>
                <w:lang w:val="en-US" w:eastAsia="zh-CN" w:bidi="ar"/>
              </w:rPr>
              <w:t>判决金额</w:t>
            </w:r>
          </w:p>
        </w:tc>
        <w:tc>
          <w:tcPr>
            <w:tcW w:w="2427" w:type="dxa"/>
            <w:shd w:val="clear" w:color="auto" w:fill="FFFFFF" w:themeFill="background1"/>
            <w:vAlign w:val="center"/>
          </w:tcPr>
          <w:p>
            <w:pPr>
              <w:jc w:val="center"/>
              <w:rPr>
                <w:rFonts w:hint="default"/>
                <w:color w:val="auto"/>
                <w:vertAlign w:val="baseline"/>
                <w:lang w:val="en-US" w:eastAsia="zh-CN"/>
              </w:rPr>
            </w:pPr>
            <w:r>
              <w:rPr>
                <w:rFonts w:ascii="宋体" w:eastAsia="宋体" w:hAnsi="宋体" w:cs="宋体" w:hint="eastAsia"/>
                <w:b w:val="0"/>
                <w:bCs w:val="0"/>
                <w:color w:val="auto"/>
                <w:kern w:val="0"/>
                <w:sz w:val="22"/>
                <w:szCs w:val="22"/>
                <w:lang w:val="en-US" w:eastAsia="zh-CN" w:bidi="ar"/>
              </w:rPr>
              <w:t>-</w:t>
            </w:r>
          </w:p>
        </w:tc>
      </w:tr>
    </w:tbl>
    <w:p>
      <w:pPr>
        <w:pStyle w:val="Heading2"/>
        <w:numPr>
          <w:ilvl w:val="1"/>
          <w:numId w:val="4"/>
        </w:numPr>
        <w:bidi w:val="0"/>
        <w:rPr>
          <w:rFonts w:hint="eastAsia"/>
          <w:color w:val="auto"/>
          <w:lang w:val="en-US" w:eastAsia="zh-CN"/>
        </w:rPr>
      </w:pPr>
      <w:bookmarkStart w:id="47" w:name="_Toc97759736"/>
      <w:bookmarkStart w:id="48" w:name="_Toc5918"/>
      <w:bookmarkStart w:id="49" w:name="_Toc256000015"/>
      <w:r>
        <w:rPr>
          <w:rFonts w:hint="eastAsia"/>
          <w:color w:val="auto"/>
          <w:lang w:val="en-US" w:eastAsia="zh-CN"/>
        </w:rPr>
        <w:t>战略价值评分详情</w:t>
      </w:r>
      <w:bookmarkEnd w:id="49"/>
      <w:bookmarkEnd w:id="48"/>
      <w:bookmarkEnd w:id="47"/>
    </w:p>
    <w:p>
      <w:pPr>
        <w:rPr>
          <w:rFonts w:hint="eastAsia"/>
          <w:color w:val="auto"/>
          <w:lang w:val="en-US" w:eastAsia="zh-CN"/>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2275"/>
        <w:gridCol w:w="3477"/>
        <w:gridCol w:w="2636"/>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16"/>
        </w:trPr>
        <w:tc>
          <w:tcPr>
            <w:tcW w:w="2275"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BDD6EE" w:themeFill="accent1" w:themeFillTint="66"/>
            <w:vAlign w:val="center"/>
          </w:tcPr>
          <w:p>
            <w:pPr>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相关指标</w:t>
            </w:r>
          </w:p>
        </w:tc>
        <w:tc>
          <w:tcPr>
            <w:tcW w:w="2586"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相关信息</w:t>
            </w:r>
          </w:p>
        </w:tc>
      </w:tr>
      <w:tr>
        <w:tblPrEx>
          <w:tblW w:w="0" w:type="auto"/>
          <w:tblInd w:w="122" w:type="dxa"/>
          <w:shd w:val="clear" w:color="auto" w:fill="5B9BD5" w:themeFill="accent1"/>
          <w:tblCellMar>
            <w:top w:w="0" w:type="dxa"/>
            <w:left w:w="108" w:type="dxa"/>
            <w:bottom w:w="0" w:type="dxa"/>
            <w:right w:w="108" w:type="dxa"/>
          </w:tblCellMar>
        </w:tblPrEx>
        <w:trPr>
          <w:trHeight w:val="804"/>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专利防御价值</w:t>
            </w: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是否分案/母案</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一案双申</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复审次数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val="restart"/>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专利进攻价值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default"/>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无效口审次数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0</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国防解密</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eastAsia"/>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否</w:t>
            </w:r>
          </w:p>
        </w:tc>
      </w:tr>
      <w:tr>
        <w:tblPrEx>
          <w:tblW w:w="0" w:type="auto"/>
          <w:tblInd w:w="122" w:type="dxa"/>
          <w:shd w:val="clear" w:color="auto" w:fill="5B9BD5" w:themeFill="accent1"/>
          <w:tblCellMar>
            <w:top w:w="0" w:type="dxa"/>
            <w:left w:w="108" w:type="dxa"/>
            <w:bottom w:w="0" w:type="dxa"/>
            <w:right w:w="108" w:type="dxa"/>
          </w:tblCellMar>
        </w:tblPrEx>
        <w:trPr>
          <w:trHeight w:val="848"/>
        </w:trPr>
        <w:tc>
          <w:tcPr>
            <w:tcW w:w="2275" w:type="dxa"/>
            <w:vMerge/>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诉讼次数</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r>
        <w:tblPrEx>
          <w:tblW w:w="0" w:type="auto"/>
          <w:tblInd w:w="122" w:type="dxa"/>
          <w:shd w:val="clear" w:color="auto" w:fill="5B9BD5" w:themeFill="accent1"/>
          <w:tblCellMar>
            <w:top w:w="0" w:type="dxa"/>
            <w:left w:w="108" w:type="dxa"/>
            <w:bottom w:w="0" w:type="dxa"/>
            <w:right w:w="108" w:type="dxa"/>
          </w:tblCellMar>
        </w:tblPrEx>
        <w:trPr>
          <w:trHeight w:val="866"/>
        </w:trPr>
        <w:tc>
          <w:tcPr>
            <w:tcW w:w="2275" w:type="dxa"/>
            <w:shd w:val="clear" w:color="auto" w:fill="FFFFFF" w:themeFill="background1"/>
            <w:vAlign w:val="center"/>
          </w:tcPr>
          <w:p>
            <w:pPr>
              <w:tabs>
                <w:tab w:val="left" w:pos="464"/>
              </w:tabs>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专利影响力价值</w:t>
            </w:r>
          </w:p>
        </w:tc>
        <w:tc>
          <w:tcPr>
            <w:tcW w:w="3477" w:type="dxa"/>
            <w:shd w:val="clear" w:color="auto" w:fill="FFFFFF" w:themeFill="background1"/>
            <w:vAlign w:val="center"/>
          </w:tcPr>
          <w:p>
            <w:pPr>
              <w:tabs>
                <w:tab w:val="left" w:pos="464"/>
              </w:tabs>
              <w:jc w:val="center"/>
              <w:rPr>
                <w:rFonts w:ascii="宋体" w:eastAsia="宋体" w:hAnsi="宋体" w:cs="宋体" w:hint="eastAsia"/>
                <w:b w:val="0"/>
                <w:bCs w:val="0"/>
                <w:i w:val="0"/>
                <w:iCs w:val="0"/>
                <w:color w:val="auto"/>
                <w:sz w:val="22"/>
                <w:szCs w:val="22"/>
                <w:u w:val="none"/>
                <w:lang w:val="en-US" w:eastAsia="zh-CN"/>
              </w:rPr>
            </w:pPr>
            <w:r>
              <w:rPr>
                <w:rFonts w:ascii="宋体" w:eastAsia="宋体" w:hAnsi="宋体" w:cs="宋体" w:hint="eastAsia"/>
                <w:b w:val="0"/>
                <w:bCs w:val="0"/>
                <w:i w:val="0"/>
                <w:iCs w:val="0"/>
                <w:color w:val="auto"/>
                <w:sz w:val="22"/>
                <w:szCs w:val="22"/>
                <w:u w:val="none"/>
                <w:lang w:val="en-US" w:eastAsia="zh-CN"/>
              </w:rPr>
              <w:t>专利奖等级</w:t>
            </w:r>
          </w:p>
        </w:tc>
        <w:tc>
          <w:tcPr>
            <w:tcW w:w="2586" w:type="dxa"/>
            <w:shd w:val="clear" w:color="auto" w:fill="FFFFFF" w:themeFill="background1"/>
            <w:vAlign w:val="center"/>
          </w:tcPr>
          <w:p>
            <w:pPr>
              <w:keepNext w:val="0"/>
              <w:keepLines w:val="0"/>
              <w:widowControl/>
              <w:suppressLineNumbers w:val="0"/>
              <w:wordWrap/>
              <w:spacing w:line="240" w:lineRule="auto"/>
              <w:jc w:val="center"/>
              <w:textAlignment w:val="center"/>
              <w:rPr>
                <w:rFonts w:ascii="宋体" w:eastAsia="宋体" w:hAnsi="宋体" w:cs="宋体" w:hint="default"/>
                <w:b w:val="0"/>
                <w:bCs w:val="0"/>
                <w:color w:val="auto"/>
                <w:kern w:val="0"/>
                <w:sz w:val="22"/>
                <w:szCs w:val="22"/>
                <w:lang w:val="en-US" w:eastAsia="zh-CN" w:bidi="ar"/>
              </w:rPr>
            </w:pPr>
            <w:r>
              <w:rPr>
                <w:rFonts w:ascii="宋体" w:eastAsia="宋体" w:hAnsi="宋体" w:cs="宋体" w:hint="eastAsia"/>
                <w:b w:val="0"/>
                <w:bCs w:val="0"/>
                <w:color w:val="auto"/>
                <w:kern w:val="0"/>
                <w:sz w:val="22"/>
                <w:szCs w:val="22"/>
                <w:lang w:val="en-US" w:eastAsia="zh-CN" w:bidi="ar"/>
              </w:rPr>
              <w:t>-</w:t>
            </w:r>
          </w:p>
        </w:tc>
      </w:tr>
    </w:tbl>
    <w:p>
      <w:pPr>
        <w:pStyle w:val="Heading1"/>
        <w:numPr>
          <w:ilvl w:val="0"/>
          <w:numId w:val="4"/>
        </w:numPr>
        <w:bidi w:val="0"/>
        <w:rPr>
          <w:rFonts w:hint="eastAsia"/>
          <w:color w:val="auto"/>
          <w:lang w:val="en-US" w:eastAsia="zh-CN"/>
        </w:rPr>
      </w:pPr>
      <w:bookmarkStart w:id="50" w:name="_Toc97759737"/>
      <w:bookmarkStart w:id="51" w:name="_Toc9313"/>
      <w:bookmarkStart w:id="52" w:name="_Toc256000016"/>
      <w:r>
        <w:rPr>
          <w:rFonts w:hint="eastAsia"/>
          <w:color w:val="auto"/>
          <w:lang w:val="en-US" w:eastAsia="zh-CN"/>
        </w:rPr>
        <w:t>领域分析</w:t>
      </w:r>
      <w:bookmarkEnd w:id="52"/>
      <w:bookmarkEnd w:id="51"/>
      <w:bookmarkEnd w:id="50"/>
    </w:p>
    <w:p>
      <w:pPr>
        <w:pStyle w:val="Heading2"/>
        <w:numPr>
          <w:ilvl w:val="1"/>
          <w:numId w:val="4"/>
        </w:numPr>
        <w:bidi w:val="0"/>
        <w:rPr>
          <w:rFonts w:hint="default"/>
          <w:color w:val="auto"/>
          <w:lang w:val="en-US" w:eastAsia="zh-CN"/>
        </w:rPr>
      </w:pPr>
      <w:bookmarkStart w:id="53" w:name="_Toc97759738"/>
      <w:bookmarkStart w:id="54" w:name="_Toc4261"/>
      <w:bookmarkStart w:id="55" w:name="_Toc256000017"/>
      <w:r>
        <w:rPr>
          <w:rFonts w:hint="eastAsia"/>
          <w:color w:val="auto"/>
          <w:lang w:val="en-US" w:eastAsia="zh-CN"/>
        </w:rPr>
        <w:t>市场价值度</w:t>
      </w:r>
      <w:bookmarkEnd w:id="55"/>
      <w:bookmarkEnd w:id="54"/>
      <w:bookmarkEnd w:id="53"/>
    </w:p>
    <w:p>
      <w:pPr>
        <w:rPr>
          <w:color w:val="auto"/>
        </w:rPr>
      </w:pPr>
    </w:p>
    <w:tbl>
      <w:tblPr>
        <w:tblStyle w:val="TableGrid"/>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989"/>
        <w:gridCol w:w="1216"/>
        <w:gridCol w:w="1216"/>
        <w:gridCol w:w="1216"/>
        <w:gridCol w:w="1216"/>
        <w:gridCol w:w="1344"/>
        <w:gridCol w:w="1203"/>
      </w:tblGrid>
      <w:tr>
        <w:tblPrEx>
          <w:tblW w:w="0" w:type="auto"/>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0"/>
        </w:trPr>
        <w:tc>
          <w:tcPr>
            <w:tcW w:w="110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申请量</w:t>
            </w:r>
          </w:p>
        </w:tc>
        <w:tc>
          <w:tcPr>
            <w:tcW w:w="2335"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申请人数量</w:t>
            </w:r>
          </w:p>
        </w:tc>
        <w:tc>
          <w:tcPr>
            <w:tcW w:w="1370"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近三年人均申请量</w:t>
            </w:r>
          </w:p>
        </w:tc>
        <w:tc>
          <w:tcPr>
            <w:tcW w:w="1256"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市场价值度</w:t>
            </w:r>
          </w:p>
        </w:tc>
      </w:tr>
      <w:tr>
        <w:tblPrEx>
          <w:tblW w:w="0" w:type="auto"/>
          <w:tblInd w:w="122" w:type="dxa"/>
          <w:shd w:val="clear" w:color="auto" w:fill="5B9BD5" w:themeFill="accent1"/>
          <w:tblCellMar>
            <w:top w:w="0" w:type="dxa"/>
            <w:left w:w="108" w:type="dxa"/>
            <w:bottom w:w="0" w:type="dxa"/>
            <w:right w:w="108" w:type="dxa"/>
          </w:tblCellMar>
        </w:tblPrEx>
        <w:trPr>
          <w:trHeight w:val="851"/>
        </w:trPr>
        <w:tc>
          <w:tcPr>
            <w:tcW w:w="1100"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相关专利数量占比</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年均申请量</w:t>
            </w:r>
          </w:p>
        </w:tc>
        <w:tc>
          <w:tcPr>
            <w:tcW w:w="1167"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相关申请人数量</w:t>
            </w:r>
          </w:p>
        </w:tc>
        <w:tc>
          <w:tcPr>
            <w:tcW w:w="1168"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年均申请人数量</w:t>
            </w:r>
          </w:p>
        </w:tc>
        <w:tc>
          <w:tcPr>
            <w:tcW w:w="1370"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c>
          <w:tcPr>
            <w:tcW w:w="1256"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0" w:type="auto"/>
          <w:tblInd w:w="122" w:type="dxa"/>
          <w:shd w:val="clear" w:color="auto" w:fill="5B9BD5" w:themeFill="accent1"/>
          <w:tblCellMar>
            <w:top w:w="0" w:type="dxa"/>
            <w:left w:w="108" w:type="dxa"/>
            <w:bottom w:w="0" w:type="dxa"/>
            <w:right w:w="108" w:type="dxa"/>
          </w:tblCellMar>
        </w:tblPrEx>
        <w:trPr>
          <w:trHeight w:val="838"/>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167"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0.38</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15</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127</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13</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3</w:t>
            </w:r>
          </w:p>
        </w:tc>
        <w:tc>
          <w:tcPr>
            <w:tcW w:w="1256"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2.89</w:t>
            </w:r>
          </w:p>
        </w:tc>
      </w:tr>
      <w:tr>
        <w:tblPrEx>
          <w:tblW w:w="0" w:type="auto"/>
          <w:tblInd w:w="122" w:type="dxa"/>
          <w:shd w:val="clear" w:color="auto" w:fill="5B9BD5" w:themeFill="accent1"/>
          <w:tblCellMar>
            <w:top w:w="0" w:type="dxa"/>
            <w:left w:w="108" w:type="dxa"/>
            <w:bottom w:w="0" w:type="dxa"/>
            <w:right w:w="108" w:type="dxa"/>
          </w:tblCellMar>
        </w:tblPrEx>
        <w:trPr>
          <w:trHeight w:val="885"/>
        </w:trPr>
        <w:tc>
          <w:tcPr>
            <w:tcW w:w="1100"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0.62</w:t>
            </w:r>
          </w:p>
        </w:tc>
        <w:tc>
          <w:tcPr>
            <w:tcW w:w="1168"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47</w:t>
            </w:r>
          </w:p>
        </w:tc>
        <w:tc>
          <w:tcPr>
            <w:tcW w:w="1167"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222</w:t>
            </w:r>
          </w:p>
        </w:tc>
        <w:tc>
          <w:tcPr>
            <w:tcW w:w="1168" w:type="dxa"/>
            <w:shd w:val="clear" w:color="auto" w:fill="FFFFFF" w:themeFill="background1"/>
            <w:vAlign w:val="center"/>
          </w:tcPr>
          <w:p>
            <w:pPr>
              <w:jc w:val="center"/>
              <w:rPr>
                <w:rFonts w:eastAsiaTheme="minorEastAsia" w:hint="eastAsia"/>
                <w:color w:val="auto"/>
                <w:vertAlign w:val="baseline"/>
                <w:lang w:val="en-US" w:eastAsia="zh-CN"/>
              </w:rPr>
            </w:pPr>
            <w:r>
              <w:rPr>
                <w:rFonts w:hint="eastAsia"/>
                <w:color w:val="auto"/>
                <w:vertAlign w:val="baseline"/>
                <w:lang w:val="en-US" w:eastAsia="zh-CN"/>
              </w:rPr>
              <w:t>39</w:t>
            </w:r>
          </w:p>
        </w:tc>
        <w:tc>
          <w:tcPr>
            <w:tcW w:w="1370"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2</w:t>
            </w:r>
          </w:p>
        </w:tc>
        <w:tc>
          <w:tcPr>
            <w:tcW w:w="1256" w:type="dxa"/>
            <w:vMerge/>
            <w:shd w:val="clear" w:color="auto" w:fill="FFFFFF" w:themeFill="background1"/>
            <w:vAlign w:val="center"/>
          </w:tcPr>
          <w:p>
            <w:pPr>
              <w:jc w:val="center"/>
              <w:rPr>
                <w:rFonts w:hint="default"/>
                <w:color w:val="auto"/>
                <w:vertAlign w:val="baseline"/>
                <w:lang w:val="en-US" w:eastAsia="zh-CN"/>
              </w:rPr>
            </w:pPr>
          </w:p>
        </w:tc>
      </w:tr>
    </w:tbl>
    <w:p>
      <w:pPr>
        <w:rPr>
          <w:color w:val="auto"/>
        </w:rPr>
      </w:pPr>
    </w:p>
    <w:p>
      <w:pPr>
        <w:numPr>
          <w:ilvl w:val="0"/>
          <w:numId w:val="0"/>
        </w:numPr>
        <w:spacing w:line="240" w:lineRule="auto"/>
        <w:jc w:val="left"/>
        <w:rPr>
          <w:rFonts w:ascii="仿宋" w:eastAsia="仿宋" w:hAnsi="仿宋" w:cs="仿宋" w:hint="eastAsia"/>
          <w:b w:val="0"/>
          <w:color w:val="auto"/>
          <w:sz w:val="24"/>
          <w:szCs w:val="24"/>
          <w:lang w:val="en-US" w:eastAsia="zh-CN"/>
        </w:rPr>
      </w:pPr>
      <w:r>
        <w:rPr>
          <w:rFonts w:ascii="仿宋" w:eastAsia="仿宋" w:hAnsi="仿宋" w:cs="仿宋" w:hint="eastAsia"/>
          <w:b w:val="0"/>
          <w:color w:val="auto"/>
          <w:sz w:val="24"/>
          <w:szCs w:val="24"/>
          <w:lang w:val="en-US" w:eastAsia="zh-CN"/>
        </w:rPr>
        <w:t>注：由于近两年申请专利未公开完全，近两年年均申请量可能较真实数据偏低</w:t>
      </w:r>
    </w:p>
    <w:p>
      <w:pPr>
        <w:pStyle w:val="Heading2"/>
        <w:numPr>
          <w:ilvl w:val="1"/>
          <w:numId w:val="4"/>
        </w:numPr>
        <w:bidi w:val="0"/>
        <w:rPr>
          <w:rFonts w:hint="eastAsia"/>
          <w:color w:val="auto"/>
          <w:lang w:val="en-US" w:eastAsia="zh-CN"/>
        </w:rPr>
      </w:pPr>
      <w:bookmarkStart w:id="56" w:name="_Toc97759739"/>
      <w:bookmarkStart w:id="57" w:name="_Toc18980"/>
      <w:bookmarkStart w:id="58" w:name="_Toc256000018"/>
      <w:r>
        <w:rPr>
          <w:rFonts w:hint="eastAsia"/>
          <w:color w:val="auto"/>
          <w:lang w:val="en-US" w:eastAsia="zh-CN"/>
        </w:rPr>
        <w:t>创造性高度</w:t>
      </w:r>
      <w:bookmarkEnd w:id="58"/>
      <w:bookmarkEnd w:id="57"/>
      <w:bookmarkEnd w:id="56"/>
    </w:p>
    <w:p>
      <w:pPr>
        <w:rPr>
          <w:rFonts w:hint="eastAsia"/>
          <w:color w:val="auto"/>
          <w:lang w:val="en-US" w:eastAsia="zh-CN"/>
        </w:rPr>
      </w:pPr>
    </w:p>
    <w:tbl>
      <w:tblPr>
        <w:tblStyle w:val="TableGrid"/>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
      <w:tblGrid>
        <w:gridCol w:w="1102"/>
        <w:gridCol w:w="1734"/>
        <w:gridCol w:w="1782"/>
        <w:gridCol w:w="3677"/>
      </w:tblGrid>
      <w:tr>
        <w:tblPrEx>
          <w:tblW w:w="8295" w:type="dxa"/>
          <w:tblInd w:w="12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5B9BD5" w:themeFill="accent1"/>
          <w:tblCellMar>
            <w:top w:w="0" w:type="dxa"/>
            <w:left w:w="108" w:type="dxa"/>
            <w:bottom w:w="0" w:type="dxa"/>
            <w:right w:w="108" w:type="dxa"/>
          </w:tblCellMar>
        </w:tblPrEx>
        <w:trPr>
          <w:trHeight w:val="851"/>
        </w:trPr>
        <w:tc>
          <w:tcPr>
            <w:tcW w:w="1102"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3516" w:type="dxa"/>
            <w:gridSpan w:val="2"/>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专利相关度</w:t>
            </w:r>
          </w:p>
        </w:tc>
        <w:tc>
          <w:tcPr>
            <w:tcW w:w="3677" w:type="dxa"/>
            <w:vMerge w:val="restart"/>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技术影响</w:t>
            </w:r>
          </w:p>
        </w:tc>
      </w:tr>
      <w:tr>
        <w:tblPrEx>
          <w:tblW w:w="8295" w:type="dxa"/>
          <w:tblInd w:w="122" w:type="dxa"/>
          <w:shd w:val="clear" w:color="auto" w:fill="5B9BD5" w:themeFill="accent1"/>
          <w:tblCellMar>
            <w:top w:w="0" w:type="dxa"/>
            <w:left w:w="108" w:type="dxa"/>
            <w:bottom w:w="0" w:type="dxa"/>
            <w:right w:w="108" w:type="dxa"/>
          </w:tblCellMar>
        </w:tblPrEx>
        <w:trPr>
          <w:trHeight w:val="851"/>
        </w:trPr>
        <w:tc>
          <w:tcPr>
            <w:tcW w:w="1102" w:type="dxa"/>
            <w:vMerge/>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p>
        </w:tc>
        <w:tc>
          <w:tcPr>
            <w:tcW w:w="1734" w:type="dxa"/>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平均相关度</w:t>
            </w:r>
          </w:p>
        </w:tc>
        <w:tc>
          <w:tcPr>
            <w:tcW w:w="1782" w:type="dxa"/>
            <w:shd w:val="clear" w:color="auto" w:fill="BDD6EE" w:themeFill="accent1" w:themeFillTint="66"/>
            <w:vAlign w:val="center"/>
          </w:tcPr>
          <w:p>
            <w:pPr>
              <w:jc w:val="center"/>
              <w:rPr>
                <w:rFonts w:ascii="宋体" w:eastAsia="宋体" w:hAnsi="宋体" w:cs="宋体" w:hint="default"/>
                <w:b/>
                <w:bCs/>
                <w:i w:val="0"/>
                <w:iCs w:val="0"/>
                <w:color w:val="auto"/>
                <w:sz w:val="22"/>
                <w:szCs w:val="22"/>
                <w:u w:val="none"/>
                <w:lang w:val="en-US" w:eastAsia="zh-CN"/>
              </w:rPr>
            </w:pPr>
            <w:r>
              <w:rPr>
                <w:rFonts w:ascii="宋体" w:eastAsia="宋体" w:hAnsi="宋体" w:cs="宋体" w:hint="eastAsia"/>
                <w:b/>
                <w:bCs/>
                <w:i w:val="0"/>
                <w:iCs w:val="0"/>
                <w:color w:val="auto"/>
                <w:sz w:val="22"/>
                <w:szCs w:val="22"/>
                <w:u w:val="none"/>
                <w:lang w:val="en-US" w:eastAsia="zh-CN"/>
              </w:rPr>
              <w:t>最高相关度</w:t>
            </w:r>
          </w:p>
        </w:tc>
        <w:tc>
          <w:tcPr>
            <w:tcW w:w="3677" w:type="dxa"/>
            <w:vMerge/>
            <w:shd w:val="clear" w:color="auto" w:fill="BDD6EE" w:themeFill="accent1" w:themeFillTint="66"/>
            <w:vAlign w:val="center"/>
          </w:tcPr>
          <w:p>
            <w:pPr>
              <w:jc w:val="center"/>
              <w:rPr>
                <w:rFonts w:ascii="宋体" w:eastAsia="宋体" w:hAnsi="宋体" w:cs="宋体" w:hint="eastAsia"/>
                <w:b/>
                <w:bCs/>
                <w:i w:val="0"/>
                <w:iCs w:val="0"/>
                <w:color w:val="auto"/>
                <w:sz w:val="22"/>
                <w:szCs w:val="22"/>
                <w:u w:val="none"/>
                <w:lang w:val="en-US" w:eastAsia="zh-CN"/>
              </w:rPr>
            </w:pPr>
          </w:p>
        </w:tc>
      </w:tr>
      <w:tr>
        <w:tblPrEx>
          <w:tblW w:w="8295" w:type="dxa"/>
          <w:tblInd w:w="122" w:type="dxa"/>
          <w:shd w:val="clear" w:color="auto" w:fill="5B9BD5" w:themeFill="accent1"/>
          <w:tblCellMar>
            <w:top w:w="0" w:type="dxa"/>
            <w:left w:w="108" w:type="dxa"/>
            <w:bottom w:w="0" w:type="dxa"/>
            <w:right w:w="108" w:type="dxa"/>
          </w:tblCellMar>
        </w:tblPrEx>
        <w:trPr>
          <w:trHeight w:val="838"/>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sz w:val="22"/>
                <w:szCs w:val="22"/>
                <w:u w:val="none"/>
                <w:lang w:val="en-US" w:eastAsia="zh-CN"/>
              </w:rPr>
              <w:t>申请日前</w:t>
            </w:r>
          </w:p>
        </w:tc>
        <w:tc>
          <w:tcPr>
            <w:tcW w:w="1734"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0.92</w:t>
            </w:r>
          </w:p>
        </w:tc>
        <w:tc>
          <w:tcPr>
            <w:tcW w:w="3677" w:type="dxa"/>
            <w:vMerge w:val="restart"/>
            <w:shd w:val="clear" w:color="auto" w:fill="FFFFFF" w:themeFill="background1"/>
            <w:vAlign w:val="center"/>
          </w:tcPr>
          <w:p>
            <w:pPr>
              <w:jc w:val="center"/>
              <w:rPr>
                <w:rFonts w:hint="default"/>
                <w:color w:val="auto"/>
                <w:vertAlign w:val="baseline"/>
                <w:lang w:val="en-US" w:eastAsia="zh-CN"/>
              </w:rPr>
            </w:pPr>
            <w:r>
              <w:rPr>
                <w:rFonts w:hint="eastAsia"/>
                <w:color w:val="auto"/>
                <w:vertAlign w:val="baseline"/>
                <w:lang w:val="en-US" w:eastAsia="zh-CN"/>
              </w:rPr>
              <w:t>-84.49</w:t>
            </w:r>
          </w:p>
        </w:tc>
      </w:tr>
      <w:tr>
        <w:tblPrEx>
          <w:tblW w:w="8295" w:type="dxa"/>
          <w:tblInd w:w="122" w:type="dxa"/>
          <w:shd w:val="clear" w:color="auto" w:fill="5B9BD5" w:themeFill="accent1"/>
          <w:tblCellMar>
            <w:top w:w="0" w:type="dxa"/>
            <w:left w:w="108" w:type="dxa"/>
            <w:bottom w:w="0" w:type="dxa"/>
            <w:right w:w="108" w:type="dxa"/>
          </w:tblCellMar>
        </w:tblPrEx>
        <w:trPr>
          <w:trHeight w:val="885"/>
        </w:trPr>
        <w:tc>
          <w:tcPr>
            <w:tcW w:w="1102" w:type="dxa"/>
            <w:shd w:val="clear" w:color="auto" w:fill="FFFFFF" w:themeFill="background1"/>
            <w:vAlign w:val="center"/>
          </w:tcPr>
          <w:p>
            <w:pPr>
              <w:jc w:val="center"/>
              <w:rPr>
                <w:rFonts w:ascii="宋体" w:eastAsia="宋体" w:hAnsi="宋体" w:cs="宋体" w:hint="default"/>
                <w:b/>
                <w:bCs/>
                <w:i w:val="0"/>
                <w:iCs w:val="0"/>
                <w:color w:val="auto"/>
                <w:kern w:val="2"/>
                <w:sz w:val="22"/>
                <w:szCs w:val="22"/>
                <w:u w:val="none"/>
                <w:lang w:val="en-US" w:eastAsia="zh-CN" w:bidi="ar-SA"/>
              </w:rPr>
            </w:pPr>
            <w:r>
              <w:rPr>
                <w:rFonts w:ascii="宋体" w:eastAsia="宋体" w:hAnsi="宋体" w:cs="宋体" w:hint="eastAsia"/>
                <w:b/>
                <w:bCs/>
                <w:i w:val="0"/>
                <w:iCs w:val="0"/>
                <w:color w:val="auto"/>
                <w:kern w:val="2"/>
                <w:sz w:val="22"/>
                <w:szCs w:val="22"/>
                <w:u w:val="none"/>
                <w:lang w:val="en-US" w:eastAsia="zh-CN" w:bidi="ar-SA"/>
              </w:rPr>
              <w:t>申请日后</w:t>
            </w:r>
          </w:p>
        </w:tc>
        <w:tc>
          <w:tcPr>
            <w:tcW w:w="1734"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0.88</w:t>
            </w:r>
          </w:p>
        </w:tc>
        <w:tc>
          <w:tcPr>
            <w:tcW w:w="1782" w:type="dxa"/>
            <w:shd w:val="clear" w:color="auto" w:fill="FFFFFF" w:themeFill="background1"/>
            <w:vAlign w:val="center"/>
          </w:tcPr>
          <w:p>
            <w:pPr>
              <w:jc w:val="center"/>
              <w:rPr>
                <w:rFonts w:hint="eastAsia"/>
                <w:color w:val="auto"/>
                <w:vertAlign w:val="baseline"/>
                <w:lang w:val="en-US" w:eastAsia="zh-CN"/>
              </w:rPr>
            </w:pPr>
            <w:r>
              <w:rPr>
                <w:rFonts w:hint="eastAsia"/>
                <w:color w:val="auto"/>
                <w:vertAlign w:val="baseline"/>
                <w:lang w:val="en-US" w:eastAsia="zh-CN"/>
              </w:rPr>
              <w:t>0.91</w:t>
            </w:r>
          </w:p>
        </w:tc>
        <w:tc>
          <w:tcPr>
            <w:tcW w:w="3677" w:type="dxa"/>
            <w:vMerge/>
            <w:shd w:val="clear" w:color="auto" w:fill="FFFFFF" w:themeFill="background1"/>
            <w:vAlign w:val="center"/>
          </w:tcPr>
          <w:p>
            <w:pPr>
              <w:jc w:val="center"/>
              <w:rPr>
                <w:rFonts w:hint="default"/>
                <w:color w:val="auto"/>
                <w:vertAlign w:val="baseline"/>
                <w:lang w:val="en-US" w:eastAsia="zh-CN"/>
              </w:rPr>
            </w:pPr>
          </w:p>
        </w:tc>
      </w:tr>
    </w:tbl>
    <w:p>
      <w:pPr>
        <w:rPr>
          <w:rFonts w:hint="eastAsia"/>
          <w:lang w:val="en-US" w:eastAsia="zh-CN"/>
        </w:rPr>
      </w:pPr>
    </w:p>
    <w:p>
      <w:pPr>
        <w:rPr>
          <w:rFonts w:hint="eastAsia"/>
          <w:lang w:val="en-US" w:eastAsia="zh-CN"/>
        </w:rPr>
      </w:pPr>
    </w:p>
    <w:sectPr>
      <w:headerReference w:type="default" r:id="rId14"/>
      <w:footerReference w:type="default" r:id="rId15"/>
      <w:pgSz w:w="11906" w:h="16838"/>
      <w:pgMar w:top="1440" w:right="1800" w:bottom="1440" w:left="1800" w:header="851" w:footer="992" w:gutter="0"/>
      <w:pgBorders>
        <w:top w:val="none" w:sz="0" w:space="0" w:color="auto"/>
        <w:left w:val="none" w:sz="0" w:space="0" w:color="auto"/>
        <w:bottom w:val="none" w:sz="0" w:space="0" w:color="auto"/>
        <w:right w:val="none" w:sz="0" w:space="0" w:color="auto"/>
      </w:pgBorders>
      <w:pgNumType w:fmt="decimal"/>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思源黑体 Bold">
    <w:altName w:val="黑体"/>
    <w:panose1 w:val="020B0800000000000000"/>
    <w:charset w:val="86"/>
    <w:family w:val="swiss"/>
    <w:pitch w:val="default"/>
    <w:sig w:usb0="00000000" w:usb1="00000000" w:usb2="00000016" w:usb3="00000000" w:csb0="002E0107" w:csb1="00000000"/>
  </w:font>
  <w:font w:name="思源黑体 CN Light">
    <w:altName w:val="黑体"/>
    <w:panose1 w:val="00000000000000000000"/>
    <w:charset w:val="86"/>
    <w:family w:val="swiss"/>
    <w:pitch w:val="default"/>
    <w:sig w:usb0="00000000" w:usb1="00000000" w:usb2="00000016" w:usb3="00000000" w:csb0="60060107"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2049" type="#_x0000_t202" style="width:2in;height:2in;margin-top:0;margin-left:0;mso-position-horizontal:center;mso-position-horizontal-relative:margin;mso-wrap-distance-bottom:0;mso-wrap-distance-left:9pt;mso-wrap-distance-right:9pt;mso-wrap-distance-top:0;mso-wrap-style:none;position:absolute;v-text-anchor:top;z-index:251659264" filled="f" fillcolor="this" stroked="f" strokeweight="0.5pt">
              <v:textbox style="mso-fit-shape-to-text:t" inset="0,0,0,0">
                <w:txbxContent>
                  <w:p>
                    <w:pPr>
                      <w:pStyle w:val="Footer"/>
                    </w:pPr>
                    <w:r>
                      <w:fldChar w:fldCharType="begin"/>
                    </w:r>
                    <w:r>
                      <w:instrText xml:space="preserve"> PAGE  \* MERGEFORMAT </w:instrText>
                    </w:r>
                    <w:r>
                      <w:fldChar w:fldCharType="separate"/>
                    </w:r>
                    <w:r>
                      <w:t>9</w:t>
                    </w:r>
                    <w:r>
                      <w:fldChar w:fldCharType="end"/>
                    </w:r>
                  </w:p>
                </w:txbxContent>
              </v:textbox>
              <w10:wrap anchorx="margin"/>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Bdr>
        <w:top w:val="none" w:sz="0" w:space="1" w:color="auto"/>
        <w:left w:val="none" w:sz="0" w:space="4" w:color="auto"/>
        <w:bottom w:val="none" w:sz="0" w:space="1" w:color="auto"/>
        <w:right w:val="none" w:sz="0" w:space="4" w:color="auto"/>
        <w:between w:val="none" w:sz="0" w:space="0" w:color="auto"/>
      </w:pBdr>
      <w:rPr>
        <w:rFonts w:eastAsiaTheme="minorEastAsia" w:hint="eastAsia"/>
        <w:lang w:eastAsia="zh-CN"/>
      </w:rPr>
    </w:pPr>
    <w:r>
      <w:rPr>
        <w:rFonts w:eastAsiaTheme="minorEastAsia" w:hint="eastAsia"/>
        <w:lang w:eastAsia="zh-CN"/>
      </w:rPr>
      <w:drawing>
        <wp:anchor distT="0" distB="0" distL="114935" distR="114935" simplePos="0" relativeHeight="251658240" behindDoc="1" locked="0" layoutInCell="1" allowOverlap="1">
          <wp:simplePos x="0" y="0"/>
          <wp:positionH relativeFrom="column">
            <wp:posOffset>-1156335</wp:posOffset>
          </wp:positionH>
          <wp:positionV relativeFrom="paragraph">
            <wp:posOffset>-730250</wp:posOffset>
          </wp:positionV>
          <wp:extent cx="7565390" cy="10701020"/>
          <wp:effectExtent l="0" t="0" r="16510" b="5080"/>
          <wp:wrapNone/>
          <wp:docPr id="7" name="图片 7" descr="C:\Users\86198\Desktop\jiazhipingu\fengm_neirong.pngfengm_neir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98\Desktop\jiazhipingu\fengm_neirong.pngfengm_neirong"/>
                  <pic:cNvPicPr>
                    <a:picLocks noChangeAspect="1"/>
                  </pic:cNvPicPr>
                </pic:nvPicPr>
                <pic:blipFill>
                  <a:blip xmlns:r="http://schemas.openxmlformats.org/officeDocument/2006/relationships" r:embed="rId1"/>
                  <a:stretch>
                    <a:fillRect/>
                  </a:stretch>
                </pic:blipFill>
                <pic:spPr>
                  <a:xfrm>
                    <a:off x="0" y="0"/>
                    <a:ext cx="7565390" cy="1070102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2" w:space="0" w:color="auto"/>
        <w:between w:val="single" w:sz="2" w:space="0" w:color="000000"/>
      </w:pBdr>
      <w:spacing w:before="0" w:after="0"/>
      <w:jc w:val="both"/>
      <w:rPr>
        <w:rFonts w:eastAsiaTheme="minorEastAsia" w:hint="default"/>
        <w:lang w:val="en-US" w:eastAsia="zh-CN"/>
      </w:rPr>
    </w:pPr>
  </w:p>
  <w:p/>
  <w:p>
    <w:pPr>
      <w:pBdr>
        <w:bottom w:val="single" w:sz="0" w:space="0" w:color="auto"/>
        <w:between w:val="single" w:sz="0" w:space="0" w:color="000000"/>
      </w:pBdr>
      <w:spacing w:before="0" w:after="0"/>
      <w:jc w:val="both"/>
    </w:pPr>
    <w:r>
      <w:rPr>
        <w:sz w:val="20"/>
        <w:szCs w:val="20"/>
      </w:rPr>
      <w:t>CN104574319B价值评估报告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CN104574319B价值评估报告</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Bdr>
        <w:bottom w:val="single" w:sz="0" w:space="0" w:color="auto"/>
        <w:between w:val="single" w:sz="0" w:space="0" w:color="000000"/>
      </w:pBdr>
      <w:spacing w:before="0" w:after="0"/>
      <w:jc w:val="both"/>
    </w:pPr>
    <w:r>
      <w:rPr>
        <w:sz w:val="20"/>
        <w:szCs w:val="20"/>
      </w:rPr>
      <w:t>CN104574319B价值评估报告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9FCA8DC6"/>
    <w:multiLevelType w:val="singleLevel"/>
    <w:tmpl w:val="9FCA8DC6"/>
    <w:lvl w:ilvl="0">
      <w:start w:val="1"/>
      <w:numFmt w:val="decimal"/>
      <w:suff w:val="nothing"/>
      <w:lvlText w:val="%1、"/>
      <w:lvlJc w:val="left"/>
    </w:lvl>
  </w:abstractNum>
  <w:abstractNum w:abstractNumId="1">
    <w:nsid w:val="B5477158"/>
    <w:multiLevelType w:val="multilevel"/>
    <w:tmpl w:val="B5477158"/>
    <w:lvl w:ilvl="0">
      <w:start w:val="2"/>
      <w:numFmt w:val="decimal"/>
      <w:lvlText w:val="%1."/>
      <w:lvlJc w:val="left"/>
      <w:pPr>
        <w:tabs>
          <w:tab w:val="left" w:pos="312"/>
        </w:tabs>
      </w:pPr>
    </w:lvl>
    <w:lvl w:ilvl="1">
      <w:start w:val="1"/>
      <w:numFmt w:val="decimal"/>
      <w:suff w:val="space"/>
      <w:lvlText w:val="%1.%2"/>
      <w:lvlJc w:val="left"/>
      <w:pPr>
        <w:ind w:left="0" w:firstLine="0" w:leftChars="0" w:firstLineChars="0"/>
      </w:pPr>
      <w:rPr>
        <w:rFonts w:hint="default"/>
      </w:rPr>
    </w:lvl>
    <w:lvl w:ilvl="2">
      <w:start w:val="1"/>
      <w:numFmt w:val="decimal"/>
      <w:suff w:val="space"/>
      <w:lvlText w:val="%1.%2.%3"/>
      <w:lvlJc w:val="left"/>
      <w:pPr>
        <w:ind w:left="0" w:firstLine="0" w:leftChars="0" w:firstLineChars="0"/>
      </w:pPr>
      <w:rPr>
        <w:rFonts w:hint="default"/>
      </w:rPr>
    </w:lvl>
    <w:lvl w:ilvl="3">
      <w:start w:val="1"/>
      <w:numFmt w:val="decimal"/>
      <w:suff w:val="space"/>
      <w:lvlText w:val="%1.%2.%3.%4"/>
      <w:lvlJc w:val="left"/>
      <w:pPr>
        <w:ind w:left="0" w:firstLine="0" w:leftChars="0" w:firstLineChars="0"/>
      </w:pPr>
      <w:rPr>
        <w:rFonts w:hint="default"/>
      </w:rPr>
    </w:lvl>
    <w:lvl w:ilvl="4">
      <w:start w:val="1"/>
      <w:numFmt w:val="decimal"/>
      <w:suff w:val="space"/>
      <w:lvlText w:val="%1.%2.%3.%4.%5"/>
      <w:lvlJc w:val="left"/>
      <w:pPr>
        <w:ind w:left="0" w:firstLine="0" w:leftChars="0" w:firstLineChars="0"/>
      </w:pPr>
      <w:rPr>
        <w:rFonts w:hint="default"/>
      </w:rPr>
    </w:lvl>
    <w:lvl w:ilvl="5">
      <w:start w:val="1"/>
      <w:numFmt w:val="decimal"/>
      <w:suff w:val="space"/>
      <w:lvlText w:val="%1.%2.%3.%4.%5.%6"/>
      <w:lvlJc w:val="left"/>
      <w:pPr>
        <w:ind w:left="0" w:firstLine="0" w:leftChars="0" w:firstLineChars="0"/>
      </w:pPr>
      <w:rPr>
        <w:rFonts w:hint="default"/>
      </w:rPr>
    </w:lvl>
    <w:lvl w:ilvl="6">
      <w:start w:val="1"/>
      <w:numFmt w:val="decimal"/>
      <w:suff w:val="space"/>
      <w:lvlText w:val="%1.%2.%3.%4.%5.%6.%7"/>
      <w:lvlJc w:val="left"/>
      <w:pPr>
        <w:ind w:left="0" w:firstLine="0" w:leftChars="0" w:firstLineChars="0"/>
      </w:pPr>
      <w:rPr>
        <w:rFonts w:hint="default"/>
      </w:rPr>
    </w:lvl>
    <w:lvl w:ilvl="7">
      <w:start w:val="1"/>
      <w:numFmt w:val="decimal"/>
      <w:suff w:val="space"/>
      <w:lvlText w:val="%1.%2.%3.%4.%5.%6.%7.%8"/>
      <w:lvlJc w:val="left"/>
      <w:pPr>
        <w:ind w:left="0" w:firstLine="0" w:leftChars="0" w:firstLineChars="0"/>
      </w:pPr>
      <w:rPr>
        <w:rFonts w:hint="default"/>
      </w:rPr>
    </w:lvl>
    <w:lvl w:ilvl="8">
      <w:start w:val="1"/>
      <w:numFmt w:val="decimal"/>
      <w:suff w:val="space"/>
      <w:lvlText w:val="%1.%2.%3.%4.%5.%6.%7.%8.%9"/>
      <w:lvlJc w:val="left"/>
      <w:pPr>
        <w:ind w:left="0" w:firstLine="0" w:leftChars="0" w:firstLineChars="0"/>
      </w:pPr>
      <w:rPr>
        <w:rFonts w:hint="default"/>
      </w:rPr>
    </w:lvl>
  </w:abstractNum>
  <w:abstractNum w:abstractNumId="2">
    <w:nsid w:val="E6812E26"/>
    <w:multiLevelType w:val="multilevel"/>
    <w:tmpl w:val="E6812E26"/>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nsid w:val="4ED1CDD5"/>
    <w:multiLevelType w:val="singleLevel"/>
    <w:tmpl w:val="4ED1CDD5"/>
    <w:lvl w:ilvl="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displayBackgroundShape/>
  <w:defaultTabStop w:val="420"/>
  <w:updateFields/>
  <w:drawingGridVerticalSpacing w:val="156"/>
  <w:noPunctuationKerning/>
  <w:characterSpacingControl w:val="compressPunctuation"/>
  <w:compat>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7D80A39"/>
    <w:rsid w:val="0DD9412D"/>
    <w:rsid w:val="0E7059E4"/>
    <w:rsid w:val="106E66CE"/>
    <w:rsid w:val="10E2676D"/>
    <w:rsid w:val="11E10C98"/>
    <w:rsid w:val="16EF569D"/>
    <w:rsid w:val="1E5F44BF"/>
    <w:rsid w:val="24CF6255"/>
    <w:rsid w:val="257870FD"/>
    <w:rsid w:val="27EB6314"/>
    <w:rsid w:val="28C619BC"/>
    <w:rsid w:val="2A071519"/>
    <w:rsid w:val="2B016BD3"/>
    <w:rsid w:val="30A6192D"/>
    <w:rsid w:val="37A421E2"/>
    <w:rsid w:val="3B755B75"/>
    <w:rsid w:val="3E463064"/>
    <w:rsid w:val="3E564895"/>
    <w:rsid w:val="405A6794"/>
    <w:rsid w:val="44F05207"/>
    <w:rsid w:val="4B9F0B41"/>
    <w:rsid w:val="534E3E33"/>
    <w:rsid w:val="53A34A9B"/>
    <w:rsid w:val="53D556A4"/>
    <w:rsid w:val="54C34224"/>
    <w:rsid w:val="554E1875"/>
    <w:rsid w:val="57285993"/>
    <w:rsid w:val="5BAB2CE0"/>
    <w:rsid w:val="72695E00"/>
    <w:rsid w:val="735208AD"/>
    <w:rsid w:val="78371F42"/>
  </w:rsids>
  <w:docVars>
    <w:docVar w:name="commondata" w:val="eyJoZGlkIjoiOGNiYzlkODVjMmI4NzNlMzRjOTkxN2M1ZThhYjA5YmQ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 w:val="20"/>
        <w:szCs w:val="20"/>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39" w:qFormat="1"/>
    <w:lsdException w:name="toc 2" w:semiHidden="0" w:uiPriority="39" w:qFormat="1"/>
    <w:lsdException w:name="toc 3" w:semiHidden="0" w:uiPriority="0"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qFormat="1"/>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paragraph" w:styleId="Heading1">
    <w:name w:val="heading 1"/>
    <w:basedOn w:val="Normal"/>
    <w:next w:val="Normal"/>
    <w:uiPriority w:val="9"/>
    <w:qFormat/>
    <w:pPr>
      <w:keepNext/>
      <w:keepLines/>
      <w:spacing w:before="480" w:after="0"/>
      <w:outlineLvl w:val="0"/>
    </w:pPr>
    <w:rPr>
      <w:rFonts w:asciiTheme="majorHAnsi" w:eastAsiaTheme="majorEastAsia" w:hAnsiTheme="majorHAnsi" w:cstheme="majorBidi"/>
      <w:b/>
      <w:bCs/>
      <w:color w:val="2E75B6" w:themeColor="accent1" w:themeShade="BF"/>
      <w:sz w:val="28"/>
      <w:szCs w:val="28"/>
    </w:rPr>
  </w:style>
  <w:style w:type="paragraph" w:styleId="Heading2">
    <w:name w:val="heading 2"/>
    <w:basedOn w:val="Normal"/>
    <w:next w:val="Normal"/>
    <w:uiPriority w:val="9"/>
    <w:unhideWhenUsed/>
    <w:qFormat/>
    <w:pPr>
      <w:keepNext/>
      <w:keepLines/>
      <w:spacing w:before="200" w:after="0"/>
      <w:outlineLvl w:val="1"/>
    </w:pPr>
    <w:rPr>
      <w:rFonts w:asciiTheme="majorAscii" w:eastAsiaTheme="majorEastAsia" w:hAnsiTheme="majorAscii" w:cstheme="majorBidi"/>
      <w:b/>
      <w:bCs/>
      <w:color w:val="5B9BD5" w:themeColor="accent1"/>
      <w:sz w:val="24"/>
      <w:szCs w:val="26"/>
      <w14:textFill>
        <w14:solidFill>
          <w14:schemeClr w14:val="accent1"/>
        </w14:solidFill>
      </w14:textFill>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rFonts w:asciiTheme="minorAscii" w:hAnsiTheme="minorAscii"/>
      <w:b/>
      <w:sz w:val="21"/>
    </w:rPr>
  </w:style>
  <w:style w:type="character" w:default="1" w:styleId="DefaultParagraphFont">
    <w:name w:val="Default Paragraph Font"/>
    <w:semiHidden/>
    <w:qFormat/>
  </w:style>
  <w:style w:type="table" w:default="1" w:styleId="TableNormal">
    <w:name w:val="Normal Table"/>
    <w:semiHidden/>
    <w:qFormat/>
    <w:tblPr>
      <w:tblCellMar>
        <w:top w:w="0" w:type="dxa"/>
        <w:left w:w="108" w:type="dxa"/>
        <w:bottom w:w="0" w:type="dxa"/>
        <w:right w:w="108" w:type="dxa"/>
      </w:tblCellMar>
    </w:tblPr>
  </w:style>
  <w:style w:type="paragraph" w:styleId="TOC3">
    <w:name w:val="toc 3"/>
    <w:basedOn w:val="Normal"/>
    <w:next w:val="Normal"/>
    <w:qFormat/>
    <w:pPr>
      <w:ind w:left="840" w:leftChars="400"/>
    </w:p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uiPriority w:val="39"/>
    <w:unhideWhenUsed/>
    <w:qFormat/>
    <w:pPr>
      <w:spacing w:after="100"/>
    </w:pPr>
  </w:style>
  <w:style w:type="paragraph" w:styleId="TOC2">
    <w:name w:val="toc 2"/>
    <w:basedOn w:val="Normal"/>
    <w:next w:val="Normal"/>
    <w:uiPriority w:val="39"/>
    <w:unhideWhenUsed/>
    <w:qFormat/>
    <w:pPr>
      <w:spacing w:after="100"/>
      <w:ind w:left="220"/>
    </w:p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qFormat/>
    <w:rPr>
      <w:color w:val="0000FF"/>
      <w:u w:val="single"/>
    </w:rPr>
  </w:style>
  <w:style w:type="paragraph" w:customStyle="1" w:styleId="TOCHeading">
    <w:name w:val="TOC Heading"/>
    <w:uiPriority w:val="39"/>
    <w:semiHidden/>
    <w:unhideWhenUsed/>
    <w:qFormat/>
    <w:pPr>
      <w:keepNext/>
      <w:keepLines/>
      <w:numPr>
        <w:ilvl w:val="0"/>
        <w:numId w:val="0"/>
      </w:numPr>
      <w:spacing w:before="480" w:after="0"/>
      <w:outlineLvl w:val="9"/>
    </w:pPr>
    <w:rPr>
      <w:rFonts w:asciiTheme="majorHAnsi" w:eastAsiaTheme="majorEastAsia" w:hAnsiTheme="majorHAnsi" w:cstheme="majorBidi"/>
      <w:b/>
      <w:bCs/>
      <w:color w:val="000000"/>
      <w:sz w:val="28"/>
      <w:szCs w:val="28"/>
    </w:rPr>
  </w:style>
  <w:style w:type="paragraph" w:styleId="TOC4">
    <w:name w:val="toc 4"/>
    <w:basedOn w:val="Normal"/>
    <w:autoRedefine/>
    <w:uiPriority w:val="39"/>
    <w:unhideWhenUsed/>
    <w:pPr>
      <w:spacing w:after="100"/>
      <w:ind w:left="660"/>
    </w:pPr>
  </w:style>
  <w:style w:type="paragraph" w:styleId="TOC5">
    <w:name w:val="toc 5"/>
    <w:basedOn w:val="Normal"/>
    <w:autoRedefine/>
    <w:uiPriority w:val="39"/>
    <w:unhideWhenUsed/>
    <w:pPr>
      <w:spacing w:after="100"/>
      <w:ind w:left="880"/>
    </w:pPr>
  </w:style>
  <w:style w:type="paragraph" w:styleId="TOC6">
    <w:name w:val="toc 6"/>
    <w:basedOn w:val="Normal"/>
    <w:autoRedefine/>
    <w:uiPriority w:val="39"/>
    <w:unhideWhenUsed/>
    <w:pPr>
      <w:spacing w:after="100"/>
      <w:ind w:left="1100"/>
    </w:pPr>
  </w:style>
  <w:style w:type="paragraph" w:styleId="TOC7">
    <w:name w:val="toc 7"/>
    <w:basedOn w:val="Normal"/>
    <w:autoRedefine/>
    <w:uiPriority w:val="39"/>
    <w:unhideWhenUsed/>
    <w:pPr>
      <w:spacing w:after="100"/>
      <w:ind w:left="1320"/>
    </w:pPr>
  </w:style>
  <w:style w:type="paragraph" w:styleId="TOC8">
    <w:name w:val="toc 8"/>
    <w:basedOn w:val="Normal"/>
    <w:autoRedefine/>
    <w:uiPriority w:val="39"/>
    <w:unhideWhenUsed/>
    <w:pPr>
      <w:spacing w:after="100"/>
      <w:ind w:left="1540"/>
    </w:pPr>
  </w:style>
  <w:style w:type="paragraph" w:styleId="TOC9">
    <w:name w:val="toc 9"/>
    <w:basedOn w:val="Normal"/>
    <w:autoRedefine/>
    <w:uiPriority w:val="39"/>
    <w:unhideWhenUsed/>
    <w:pPr>
      <w:spacing w:after="100"/>
      <w:ind w:left="1760"/>
    </w:pPr>
  </w:style>
  <w:style w:type="character" w:customStyle="1" w:styleId="Hyperlink0">
    <w:name w:val="Hyperlink_0"/>
    <w:uiPriority w:val="99"/>
    <w:unhideWhenUsed/>
    <w:rPr>
      <w:color w:val="0563C1" w:themeColor="hyperlink"/>
      <w:u w:val="single"/>
    </w:rPr>
  </w:style>
  <w:style w:type="paragraph" w:customStyle="1" w:styleId="1-11-BR">
    <w:name w:val="1-11-BR"/>
    <w:pPr>
      <w:widowControl w:val="0"/>
      <w:jc w:val="both"/>
    </w:pPr>
    <w:rPr>
      <w:rFonts w:asciiTheme="minorHAnsi" w:eastAsiaTheme="minorEastAsia" w:hAnsiTheme="minorHAnsi" w:cstheme="minorBidi"/>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hyperlink" Target="https://www.cnipa.gov.cn/art/2021/12/17/art_430_172260.html" TargetMode="External" /><Relationship Id="rId12" Type="http://schemas.openxmlformats.org/officeDocument/2006/relationships/header" Target="header3.xml" /><Relationship Id="rId13" Type="http://schemas.openxmlformats.org/officeDocument/2006/relationships/image" Target="media/image4.png" /><Relationship Id="rId14" Type="http://schemas.openxmlformats.org/officeDocument/2006/relationships/header" Target="header4.xml" /><Relationship Id="rId15" Type="http://schemas.openxmlformats.org/officeDocument/2006/relationships/footer" Target="footer3.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s="http://www.wps.cn/officeDocument/2013/wpsCustomData" xmln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1459</Words>
  <Characters>2768</Characters>
  <Application>Microsoft Office Word</Application>
  <DocSecurity>0</DocSecurity>
  <Lines>0</Lines>
  <Paragraphs>0</Paragraphs>
  <ScaleCrop>false</ScaleCrop>
  <Company/>
  <LinksUpToDate>false</LinksUpToDate>
  <CharactersWithSpaces>2780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himmuc</dc:creator>
  <cp:lastModifiedBy>himmuc</cp:lastModifiedBy>
  <cp:revision>0</cp:revision>
  <dcterms:created xsi:type="dcterms:W3CDTF">2021-12-08T03:09:00Z</dcterms:created>
  <dcterms:modified xsi:type="dcterms:W3CDTF">2022-07-21T11:00:01Z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C8F2589F47414EF08B97D55D90598B86</vt:lpwstr>
  </property>
  <property fmtid="{D5CDD505-2E9C-101B-9397-08002B2CF9AE}" pid="3" name="KSOProductBuildVer">
    <vt:lpwstr>2052-11.1.0.11875</vt:lpwstr>
  </property>
</Properties>
</file>