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CN201922377003.8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2019年12月25日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一种高效散热的血气分析仪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2020年11月03日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8795462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449355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449355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68.85</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4058652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6525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70.66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85.49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81.09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65.08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53.46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449355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67.67</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45.32</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90.53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92.03万元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449355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449355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一种高效散热的血气分析仪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CN211860882U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2020年11月03日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CN201922377003.8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2019年12月25日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黄峰,张占英,许红龙,郑浩洋</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谢泳祥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G09F9/00 采用选择或组合单个部件在支架上建立信息的可变信息的指示装置（其中可变信息永久性的连接在可动支架上的入G09F11/00[2006.01]</w:t>
              <w:br/>
              <w:t>H05K7/20 .便于冷却、通风或加热的改进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高效散热的血气分析仪，包括显示屏、设置于显示屏旁侧的散热壳体，散热壳体内设置有进风腔体与出风腔体，进风腔体与出风腔体之间设置有隔板，隔板与散热壳体的内顶壁之间设置有通风间隙，进风腔体内设置有过滤板与集水盘，过滤板的顶面设置有滤气出口，过滤板的底面设置有滤气进口，滤气出口与滤气进口之间相互连通，并形成滤气通道，过滤板上设置有半导体制冷片，散热壳体正对于进风腔体的位置设置有进风口，散热壳体正对于出风腔体的位置设置有出风口，出风腔体内设置有风机，本实用新型对显示屏的散热更加高效，并且减少在风冷时空气的灰尘在机体内部积聚，避免灰尘堵塞风口、影响机体性能的问题，实用性更强。</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811338"/>
                  <wp:effectExtent l="0" t="0" r="0" b="0"/>
                  <wp:docPr id="1603363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63021" name=""/>
                          <pic:cNvPicPr/>
                        </pic:nvPicPr>
                        <pic:blipFill>
                          <a:blip xmlns:r="http://schemas.openxmlformats.org/officeDocument/2006/relationships" r:embed="rId13"/>
                          <a:stretch>
                            <a:fillRect/>
                          </a:stretch>
                        </pic:blipFill>
                        <pic:spPr>
                          <a:xfrm>
                            <a:off x="0" y="0"/>
                            <a:ext cx="2222500" cy="181133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449355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20201103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IPC(主分类):H05K   7/20 申请日:20191225 授权公告日:20201103</w:t>
            </w:r>
          </w:p>
        </w:tc>
      </w:tr>
    </w:tbl>
    <w:p>
      <w:pPr>
        <w:pStyle w:val="Heading2"/>
        <w:numPr>
          <w:ilvl w:val="1"/>
          <w:numId w:val="4"/>
        </w:numPr>
        <w:bidi w:val="0"/>
        <w:rPr>
          <w:rFonts w:hint="eastAsia"/>
          <w:color w:val="auto"/>
          <w:lang w:val="en-US" w:eastAsia="zh-CN"/>
        </w:rPr>
      </w:pPr>
      <w:bookmarkStart w:id="20" w:name="_Toc449355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449355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449355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449355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449355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449355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449355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340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1644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449355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A202,C610</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449355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449355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449355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449355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0.27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7.91</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0.73</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654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114</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449355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150.87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0.81</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CN211860882U价值评估报告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CN211860882U价值评估报告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CN211860882U价值评估报告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