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CN201710713181.6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2017年08月18日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一种四环素慢病毒诱导表达载体及其建立方法和应用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2020年08月07日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4220451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8948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8948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6991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17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70.17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60.58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8948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186.14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342.26万元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8948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8948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一种四环素慢病毒诱导表达载体及其建立方法和应用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CN107523588B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2020年08月07日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CN201710713181.6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2017年08月18日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苟德明,黄炼,康康</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王利彬</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C12N15/867 ......逆转录病毒载体 [2006.01]</w:t>
              <w:br/>
              <w:t>C12N15/66 ...经裂解和连接将基因插入载体中以形成重组载体的一般方法； 非功能性衔接子或连接物（如含限制性核酸内切酶顺序的衔接子）的使用〔 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四环素慢病毒诱导表达载体及其建立方法和应用，所述四环素慢病毒诱导表达载体包含目的基因表达框和反义四环素转录激活因子表达框；诱导型CRISPR/Cas9系统将Cas9蛋白置于诱导型启动子的下游，并将U6启动表达的sgRNA序列置于整个四环素诱导体系的上游。本发明首次提出TRE3Gp与TetON3G的组合效果最佳，该诱导体系引入细胞后可在保持低背景表达的同时，最大水平的诱导表达目的基因。该诱导系统对诱导剂反应灵敏、效率高、分子量小，可广泛应用于基因功能研究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075690"/>
                  <wp:effectExtent l="0" t="0" r="0" b="0"/>
                  <wp:docPr id="124542178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21782" name=""/>
                          <pic:cNvPicPr/>
                        </pic:nvPicPr>
                        <pic:blipFill>
                          <a:blip xmlns:r="http://schemas.openxmlformats.org/officeDocument/2006/relationships" r:embed="rId13"/>
                          <a:stretch>
                            <a:fillRect/>
                          </a:stretch>
                        </pic:blipFill>
                        <pic:spPr>
                          <a:xfrm>
                            <a:off x="0" y="0"/>
                            <a:ext cx="2222500" cy="107569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8948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IPC(主分类):C12N  15/867 专利申请号:2017107131816 申请日:20170818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20200807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38948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8948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8948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8948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8948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8948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8948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2545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2545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8948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8948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8948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8948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8948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8948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2.96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CN107523588B价值评估报告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CN107523588B价值评估报告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CN107523588B价值评估报告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