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CN201710590370.9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2017年07月19日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一种具有抗肝损伤活性的化合物及其制备方法和用途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2019年10月18日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佛山市第五人民医院,佛山科学技术学院,佛山市康复医学会</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77837863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3851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3851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5016199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1993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66.54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3851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72.76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37.79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103.24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96.03万元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3851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3851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一种具有抗肝损伤活性的化合物及其制备方法和用途</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CN107383150B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2019年10月18日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CN201710590370.9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2017年07月19日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佛山市第五人民医院,佛山科学技术学院,佛山市康复医学会</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严文,黄文柱,刘连,王志军,刘腾,彭咏波</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广东广信君达律师事务所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张燕玲</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A61K31/58 ..含有杂环的，例如炔羟雄烯唑、司坦唑、双季松龙、洋地黄皂甙配基（洋地黄毒甙入 A61K31/704 ）[2006.01]</w:t>
              <w:br/>
              <w:t>C07J63/00 甾族化合物，其中环戊烷并〔 a〕氢化菲骨架以仅有 1个环增加1个或两个原子予以改变 [2006.01]</w:t>
              <w:br/>
              <w:t>A61P1/16 .治疗肝脏或胆囊疾病的药物，例如保肝药、利胆药、溶石药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天然药物和药物治疗领域，公开了一种具有抗肝损伤活性的化合物及其制备方法和用途。该化合物是由甘草次酸与维生素生物素偶联而成，结构式如式(Ⅰ)所示。制备包括步骤：将甘草次酸与生物素溶解在无水二氯甲烷中，在吡啶和4‑二甲氨基吡啶的催化下，室温反应过夜，过滤，过硅胶色谱柱，旋蒸，干燥，即可获得目标化合物。通过小鼠实验，发现其对于肝损伤疾病具有很好的治疗效果。&lt;Image file="DDA0001354581460000011.GIF" he="645" imgContent="drawing" imgFormat="GIF" inline="no" orientation="portrait" wi="700"/&gt;</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3851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20171124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IPC(主分类):C07J  63/00 专利申请号:2017105903709 申请日:20170719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20191018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43851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3851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3851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3851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3851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3851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3851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3851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D101,D102,D104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3851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3851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3851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3851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377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3851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58.41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CN107383150B价值评估报告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CN107383150B价值评估报告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CN107383150B价值评估报告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